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ascii="仿宋" w:hAnsi="仿宋"/>
          <w:sz w:val="21"/>
          <w:lang w:val="zh-CN"/>
        </w:rPr>
      </w:pPr>
    </w:p>
    <w:p>
      <w:pPr>
        <w:pStyle w:val="2"/>
        <w:keepNext w:val="0"/>
        <w:keepLines w:val="0"/>
        <w:pageBreakBefore w:val="0"/>
        <w:widowControl w:val="0"/>
        <w:kinsoku/>
        <w:wordWrap/>
        <w:overflowPunct/>
        <w:topLinePunct w:val="0"/>
        <w:autoSpaceDE/>
        <w:autoSpaceDN/>
        <w:bidi w:val="0"/>
        <w:adjustRightInd w:val="0"/>
        <w:snapToGrid w:val="0"/>
        <w:spacing w:before="0" w:after="0" w:line="360" w:lineRule="auto"/>
        <w:ind w:left="0" w:leftChars="0" w:right="0" w:rightChars="0" w:firstLine="0" w:firstLineChars="0"/>
        <w:jc w:val="center"/>
        <w:textAlignment w:val="auto"/>
        <w:rPr>
          <w:rFonts w:hint="eastAsia" w:ascii="仿宋" w:hAnsi="仿宋"/>
          <w:sz w:val="44"/>
          <w:szCs w:val="44"/>
        </w:rPr>
      </w:pPr>
      <w:r>
        <w:rPr>
          <w:rFonts w:hint="eastAsia" w:ascii="仿宋" w:hAnsi="仿宋"/>
          <w:sz w:val="44"/>
          <w:szCs w:val="44"/>
        </w:rPr>
        <w:t>生物技术研究开发安全管理条例</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Style w:val="14"/>
          <w:rFonts w:hint="eastAsia" w:ascii="楷体_GB2312" w:hAnsi="楷体_GB2312" w:eastAsia="楷体_GB2312" w:cs="楷体_GB2312"/>
          <w:b w:val="0"/>
          <w:bCs/>
        </w:rPr>
      </w:pPr>
      <w:r>
        <w:rPr>
          <w:rStyle w:val="14"/>
          <w:rFonts w:hint="eastAsia" w:ascii="楷体_GB2312" w:hAnsi="楷体_GB2312" w:eastAsia="楷体_GB2312" w:cs="楷体_GB2312"/>
          <w:b w:val="0"/>
          <w:bCs/>
        </w:rPr>
        <w:t>（征求意见</w:t>
      </w:r>
      <w:bookmarkStart w:id="66" w:name="_GoBack"/>
      <w:bookmarkEnd w:id="66"/>
      <w:r>
        <w:rPr>
          <w:rStyle w:val="14"/>
          <w:rFonts w:hint="eastAsia" w:ascii="楷体_GB2312" w:hAnsi="楷体_GB2312" w:eastAsia="楷体_GB2312" w:cs="楷体_GB2312"/>
          <w:b w:val="0"/>
          <w:bCs/>
        </w:rPr>
        <w:t>稿）</w:t>
      </w:r>
    </w:p>
    <w:p>
      <w:pPr>
        <w:pStyle w:val="2"/>
        <w:keepNext w:val="0"/>
        <w:keepLines w:val="0"/>
        <w:adjustRightInd w:val="0"/>
        <w:snapToGrid w:val="0"/>
        <w:spacing w:before="312" w:beforeLines="100" w:after="312" w:afterLines="100" w:line="360" w:lineRule="auto"/>
        <w:jc w:val="center"/>
        <w:rPr>
          <w:rFonts w:hint="eastAsia" w:ascii="仿宋" w:hAnsi="仿宋"/>
        </w:rPr>
      </w:pPr>
      <w:bookmarkStart w:id="0" w:name="_Toc2841880"/>
    </w:p>
    <w:p>
      <w:pPr>
        <w:pStyle w:val="2"/>
        <w:keepNext w:val="0"/>
        <w:keepLines w:val="0"/>
        <w:adjustRightInd w:val="0"/>
        <w:snapToGrid w:val="0"/>
        <w:spacing w:before="312" w:beforeLines="100" w:after="312" w:afterLines="100" w:line="360" w:lineRule="auto"/>
        <w:jc w:val="center"/>
        <w:rPr>
          <w:rFonts w:ascii="仿宋" w:hAnsi="仿宋"/>
        </w:rPr>
      </w:pPr>
      <w:r>
        <w:rPr>
          <w:rFonts w:hint="eastAsia" w:ascii="仿宋" w:hAnsi="仿宋"/>
        </w:rPr>
        <w:t>第一章　总则</w:t>
      </w:r>
      <w:bookmarkEnd w:id="0"/>
    </w:p>
    <w:p>
      <w:pPr>
        <w:pStyle w:val="12"/>
        <w:widowControl w:val="0"/>
        <w:adjustRightInd w:val="0"/>
        <w:snapToGrid w:val="0"/>
        <w:spacing w:before="0" w:beforeAutospacing="0" w:after="0" w:afterAutospacing="0" w:line="360" w:lineRule="auto"/>
        <w:ind w:firstLine="643" w:firstLineChars="200"/>
        <w:jc w:val="both"/>
        <w:rPr>
          <w:rFonts w:ascii="仿宋" w:hAnsi="仿宋" w:eastAsia="仿宋" w:cs="仿宋_GB2312"/>
          <w:sz w:val="32"/>
          <w:szCs w:val="32"/>
        </w:rPr>
      </w:pPr>
      <w:bookmarkStart w:id="1" w:name="_Toc2841881"/>
      <w:r>
        <w:rPr>
          <w:rStyle w:val="29"/>
          <w:rFonts w:hint="eastAsia" w:ascii="仿宋" w:hAnsi="仿宋"/>
        </w:rPr>
        <w:t>第一条</w:t>
      </w:r>
      <w:bookmarkEnd w:id="1"/>
      <w:r>
        <w:rPr>
          <w:rStyle w:val="29"/>
          <w:rFonts w:hint="eastAsia" w:ascii="仿宋" w:hAnsi="仿宋" w:eastAsia="仿宋"/>
          <w:lang w:val="en-US" w:eastAsia="zh-CN"/>
        </w:rPr>
        <w:t xml:space="preserve"> </w:t>
      </w:r>
      <w:r>
        <w:rPr>
          <w:rFonts w:hint="eastAsia" w:ascii="仿宋" w:hAnsi="仿宋" w:eastAsia="仿宋" w:cs="仿宋_GB2312"/>
          <w:sz w:val="32"/>
          <w:szCs w:val="32"/>
        </w:rPr>
        <w:t>为了促进和保障我国生物技术研究开发活动健康有序开展，维护国家生物安全，制定本条例。</w:t>
      </w:r>
    </w:p>
    <w:p>
      <w:pPr>
        <w:pStyle w:val="12"/>
        <w:widowControl w:val="0"/>
        <w:adjustRightInd w:val="0"/>
        <w:snapToGrid w:val="0"/>
        <w:spacing w:before="0" w:beforeAutospacing="0" w:after="0" w:afterAutospacing="0" w:line="360" w:lineRule="auto"/>
        <w:ind w:firstLine="643" w:firstLineChars="200"/>
        <w:jc w:val="both"/>
        <w:rPr>
          <w:rFonts w:ascii="仿宋" w:hAnsi="仿宋" w:eastAsia="仿宋" w:cs="仿宋_GB2312"/>
          <w:sz w:val="32"/>
          <w:szCs w:val="32"/>
        </w:rPr>
      </w:pPr>
      <w:bookmarkStart w:id="2" w:name="_Toc2841882"/>
      <w:r>
        <w:rPr>
          <w:rStyle w:val="29"/>
          <w:rFonts w:hint="eastAsia" w:ascii="仿宋" w:hAnsi="仿宋"/>
        </w:rPr>
        <w:t>第二条</w:t>
      </w:r>
      <w:bookmarkEnd w:id="2"/>
      <w:r>
        <w:rPr>
          <w:rStyle w:val="29"/>
          <w:rFonts w:hint="eastAsia" w:ascii="仿宋" w:hAnsi="仿宋" w:eastAsia="仿宋"/>
          <w:lang w:val="en-US" w:eastAsia="zh-CN"/>
        </w:rPr>
        <w:t xml:space="preserve"> </w:t>
      </w:r>
      <w:r>
        <w:rPr>
          <w:rFonts w:hint="eastAsia" w:ascii="仿宋" w:hAnsi="仿宋" w:eastAsia="仿宋" w:cs="仿宋_GB2312"/>
          <w:sz w:val="32"/>
          <w:szCs w:val="32"/>
        </w:rPr>
        <w:t>在中华人民共和国境内开展生物技术研究开发活动，应遵从本条例。</w:t>
      </w:r>
    </w:p>
    <w:p>
      <w:pPr>
        <w:pStyle w:val="12"/>
        <w:widowControl w:val="0"/>
        <w:adjustRightInd w:val="0"/>
        <w:snapToGrid w:val="0"/>
        <w:spacing w:before="0" w:beforeAutospacing="0" w:after="0" w:afterAutospacing="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本条例所指的生物技术研究开发，是指通过</w:t>
      </w:r>
      <w:r>
        <w:rPr>
          <w:rFonts w:ascii="仿宋" w:hAnsi="仿宋" w:eastAsia="仿宋" w:cs="仿宋_GB2312"/>
          <w:sz w:val="32"/>
          <w:szCs w:val="32"/>
        </w:rPr>
        <w:t>科学和工程原理</w:t>
      </w:r>
      <w:r>
        <w:rPr>
          <w:rFonts w:hint="eastAsia" w:ascii="仿宋" w:hAnsi="仿宋" w:eastAsia="仿宋" w:cs="仿宋_GB2312"/>
          <w:sz w:val="32"/>
          <w:szCs w:val="32"/>
        </w:rPr>
        <w:t>认识、利用、</w:t>
      </w:r>
      <w:r>
        <w:rPr>
          <w:rFonts w:ascii="仿宋" w:hAnsi="仿宋" w:eastAsia="仿宋" w:cs="仿宋_GB2312"/>
          <w:sz w:val="32"/>
          <w:szCs w:val="32"/>
        </w:rPr>
        <w:t>改造</w:t>
      </w:r>
      <w:r>
        <w:rPr>
          <w:rFonts w:hint="eastAsia" w:ascii="仿宋" w:hAnsi="仿宋" w:eastAsia="仿宋" w:cs="仿宋_GB2312"/>
          <w:sz w:val="32"/>
          <w:szCs w:val="32"/>
        </w:rPr>
        <w:t>生物而开展</w:t>
      </w:r>
      <w:r>
        <w:rPr>
          <w:rFonts w:ascii="仿宋" w:hAnsi="仿宋" w:eastAsia="仿宋" w:cs="仿宋_GB2312"/>
          <w:sz w:val="32"/>
          <w:szCs w:val="32"/>
        </w:rPr>
        <w:t>的科学研究</w:t>
      </w:r>
      <w:r>
        <w:rPr>
          <w:rFonts w:hint="eastAsia" w:ascii="仿宋" w:hAnsi="仿宋" w:eastAsia="仿宋" w:cs="仿宋_GB2312"/>
          <w:sz w:val="32"/>
          <w:szCs w:val="32"/>
        </w:rPr>
        <w:t>和</w:t>
      </w:r>
      <w:r>
        <w:rPr>
          <w:rFonts w:ascii="仿宋" w:hAnsi="仿宋" w:eastAsia="仿宋" w:cs="仿宋_GB2312"/>
          <w:sz w:val="32"/>
          <w:szCs w:val="32"/>
        </w:rPr>
        <w:t>技术开发</w:t>
      </w:r>
      <w:r>
        <w:rPr>
          <w:rFonts w:hint="eastAsia" w:ascii="仿宋" w:hAnsi="仿宋" w:eastAsia="仿宋" w:cs="仿宋_GB2312"/>
          <w:sz w:val="32"/>
          <w:szCs w:val="32"/>
        </w:rPr>
        <w:t>活动</w:t>
      </w:r>
      <w:r>
        <w:rPr>
          <w:rFonts w:ascii="仿宋" w:hAnsi="仿宋" w:eastAsia="仿宋" w:cs="仿宋_GB2312"/>
          <w:sz w:val="32"/>
          <w:szCs w:val="32"/>
        </w:rPr>
        <w:t>。</w:t>
      </w:r>
    </w:p>
    <w:p>
      <w:pPr>
        <w:pStyle w:val="12"/>
        <w:widowControl w:val="0"/>
        <w:adjustRightInd w:val="0"/>
        <w:snapToGrid w:val="0"/>
        <w:spacing w:before="0" w:beforeAutospacing="0" w:after="0" w:afterAutospacing="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涉及</w:t>
      </w:r>
      <w:r>
        <w:rPr>
          <w:rFonts w:ascii="仿宋" w:hAnsi="仿宋" w:eastAsia="仿宋" w:cs="仿宋_GB2312"/>
          <w:sz w:val="32"/>
          <w:szCs w:val="32"/>
        </w:rPr>
        <w:t>人间传染的</w:t>
      </w:r>
      <w:r>
        <w:rPr>
          <w:rFonts w:hint="eastAsia" w:ascii="仿宋" w:hAnsi="仿宋" w:eastAsia="仿宋" w:cs="仿宋_GB2312"/>
          <w:sz w:val="32"/>
          <w:szCs w:val="32"/>
        </w:rPr>
        <w:t>高致病性病原微生物实验</w:t>
      </w:r>
      <w:r>
        <w:rPr>
          <w:rFonts w:ascii="仿宋" w:hAnsi="仿宋" w:eastAsia="仿宋" w:cs="仿宋_GB2312"/>
          <w:sz w:val="32"/>
          <w:szCs w:val="32"/>
        </w:rPr>
        <w:t>活动</w:t>
      </w:r>
      <w:r>
        <w:rPr>
          <w:rFonts w:hint="eastAsia" w:ascii="仿宋" w:hAnsi="仿宋" w:eastAsia="仿宋" w:cs="仿宋_GB2312"/>
          <w:sz w:val="32"/>
          <w:szCs w:val="32"/>
        </w:rPr>
        <w:t>、高致病性动物</w:t>
      </w:r>
      <w:r>
        <w:rPr>
          <w:rFonts w:ascii="仿宋" w:hAnsi="仿宋" w:eastAsia="仿宋" w:cs="仿宋_GB2312"/>
          <w:sz w:val="32"/>
          <w:szCs w:val="32"/>
        </w:rPr>
        <w:t>病原微生物实验活动、</w:t>
      </w:r>
      <w:r>
        <w:rPr>
          <w:rFonts w:hint="eastAsia" w:ascii="仿宋" w:hAnsi="仿宋" w:eastAsia="仿宋" w:cs="仿宋_GB2312"/>
          <w:sz w:val="32"/>
          <w:szCs w:val="32"/>
        </w:rPr>
        <w:t>农业转基因生物加工</w:t>
      </w:r>
      <w:r>
        <w:rPr>
          <w:rFonts w:ascii="仿宋" w:hAnsi="仿宋" w:eastAsia="仿宋" w:cs="仿宋_GB2312"/>
          <w:sz w:val="32"/>
          <w:szCs w:val="32"/>
        </w:rPr>
        <w:t>、林木转基因工程及</w:t>
      </w:r>
      <w:r>
        <w:rPr>
          <w:rFonts w:hint="eastAsia" w:ascii="仿宋" w:hAnsi="仿宋" w:eastAsia="仿宋" w:cs="仿宋_GB2312"/>
          <w:sz w:val="32"/>
          <w:szCs w:val="32"/>
        </w:rPr>
        <w:t>生物</w:t>
      </w:r>
      <w:r>
        <w:rPr>
          <w:rFonts w:ascii="仿宋" w:hAnsi="仿宋" w:eastAsia="仿宋" w:cs="仿宋_GB2312"/>
          <w:sz w:val="32"/>
          <w:szCs w:val="32"/>
        </w:rPr>
        <w:t>医学新技术</w:t>
      </w:r>
      <w:r>
        <w:rPr>
          <w:rFonts w:hint="eastAsia" w:ascii="仿宋" w:hAnsi="仿宋" w:eastAsia="仿宋" w:cs="仿宋_GB2312"/>
          <w:sz w:val="32"/>
          <w:szCs w:val="32"/>
        </w:rPr>
        <w:t>临床应用等，依照相关法律、行政法规规定执行。</w:t>
      </w:r>
    </w:p>
    <w:p>
      <w:pPr>
        <w:pStyle w:val="12"/>
        <w:widowControl w:val="0"/>
        <w:adjustRightInd w:val="0"/>
        <w:snapToGrid w:val="0"/>
        <w:spacing w:before="0" w:beforeAutospacing="0" w:after="0" w:afterAutospacing="0" w:line="360" w:lineRule="auto"/>
        <w:ind w:firstLine="643" w:firstLineChars="200"/>
        <w:jc w:val="both"/>
        <w:rPr>
          <w:rFonts w:ascii="仿宋" w:hAnsi="仿宋" w:eastAsia="仿宋" w:cs="仿宋_GB2312"/>
          <w:sz w:val="32"/>
          <w:szCs w:val="32"/>
        </w:rPr>
      </w:pPr>
      <w:bookmarkStart w:id="3" w:name="_Toc2841883"/>
      <w:r>
        <w:rPr>
          <w:rStyle w:val="29"/>
          <w:rFonts w:hint="eastAsia" w:ascii="仿宋" w:hAnsi="仿宋"/>
        </w:rPr>
        <w:t>第三条</w:t>
      </w:r>
      <w:bookmarkEnd w:id="3"/>
      <w:r>
        <w:rPr>
          <w:rStyle w:val="29"/>
          <w:rFonts w:hint="eastAsia" w:ascii="仿宋" w:hAnsi="仿宋" w:eastAsia="仿宋"/>
          <w:lang w:val="en-US" w:eastAsia="zh-CN"/>
        </w:rPr>
        <w:t xml:space="preserve"> </w:t>
      </w:r>
      <w:r>
        <w:rPr>
          <w:rFonts w:hint="eastAsia" w:ascii="仿宋" w:hAnsi="仿宋" w:eastAsia="仿宋" w:cs="仿宋_GB2312"/>
          <w:sz w:val="32"/>
          <w:szCs w:val="32"/>
        </w:rPr>
        <w:t>国家支持生物技术研究开发，制定生物技术发展战略，拟定促进生物技术发展的政策措施，建立生物技术创新体系，加大研究投入，加强人才队伍建设，加强基础设施和基地平台布局与建设，加快成果转化，鼓励国际合作，促进生物技术创新发展。</w:t>
      </w:r>
    </w:p>
    <w:p>
      <w:pPr>
        <w:pStyle w:val="12"/>
        <w:widowControl w:val="0"/>
        <w:adjustRightInd w:val="0"/>
        <w:snapToGrid w:val="0"/>
        <w:spacing w:before="0" w:beforeAutospacing="0" w:after="0" w:afterAutospacing="0" w:line="360" w:lineRule="auto"/>
        <w:ind w:firstLine="643" w:firstLineChars="200"/>
        <w:jc w:val="both"/>
        <w:rPr>
          <w:rFonts w:ascii="仿宋" w:hAnsi="仿宋" w:eastAsia="仿宋" w:cs="仿宋_GB2312"/>
          <w:sz w:val="32"/>
          <w:szCs w:val="32"/>
        </w:rPr>
      </w:pPr>
      <w:bookmarkStart w:id="4" w:name="_Toc2841884"/>
      <w:r>
        <w:rPr>
          <w:rStyle w:val="29"/>
          <w:rFonts w:hint="eastAsia" w:ascii="仿宋" w:hAnsi="仿宋"/>
        </w:rPr>
        <w:t>第四条</w:t>
      </w:r>
      <w:bookmarkEnd w:id="4"/>
      <w:r>
        <w:rPr>
          <w:rStyle w:val="29"/>
          <w:rFonts w:hint="eastAsia" w:ascii="仿宋" w:hAnsi="仿宋" w:eastAsia="仿宋"/>
          <w:lang w:val="en-US" w:eastAsia="zh-CN"/>
        </w:rPr>
        <w:t xml:space="preserve"> </w:t>
      </w:r>
      <w:r>
        <w:rPr>
          <w:rFonts w:hint="eastAsia" w:ascii="仿宋" w:hAnsi="仿宋" w:eastAsia="仿宋" w:cs="仿宋_GB2312"/>
          <w:sz w:val="32"/>
          <w:szCs w:val="32"/>
        </w:rPr>
        <w:t>国家依法保障生物技术研究开发自由，保护科学技术人员合法权益。</w:t>
      </w:r>
    </w:p>
    <w:p>
      <w:pPr>
        <w:pStyle w:val="12"/>
        <w:widowControl w:val="0"/>
        <w:adjustRightInd w:val="0"/>
        <w:snapToGrid w:val="0"/>
        <w:spacing w:before="0" w:beforeAutospacing="0" w:after="0" w:afterAutospacing="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国家发展生物技术科学普及事业，普及生物技术知识，加强宣传教育，提高公众对生物技术的科学认识和风险意识，营造生物技术创新发展良好环境。</w:t>
      </w:r>
    </w:p>
    <w:p>
      <w:pPr>
        <w:pStyle w:val="12"/>
        <w:widowControl w:val="0"/>
        <w:adjustRightInd w:val="0"/>
        <w:snapToGrid w:val="0"/>
        <w:spacing w:before="0" w:beforeAutospacing="0" w:after="0" w:afterAutospacing="0" w:line="360" w:lineRule="auto"/>
        <w:ind w:firstLine="643" w:firstLineChars="200"/>
        <w:jc w:val="both"/>
        <w:rPr>
          <w:rFonts w:ascii="仿宋" w:hAnsi="仿宋" w:eastAsia="仿宋" w:cs="仿宋_GB2312"/>
          <w:sz w:val="32"/>
          <w:szCs w:val="32"/>
        </w:rPr>
      </w:pPr>
      <w:bookmarkStart w:id="5" w:name="_Toc2841885"/>
      <w:r>
        <w:rPr>
          <w:rStyle w:val="29"/>
          <w:rFonts w:hint="eastAsia" w:ascii="仿宋" w:hAnsi="仿宋"/>
        </w:rPr>
        <w:t>第五条</w:t>
      </w:r>
      <w:bookmarkEnd w:id="5"/>
      <w:r>
        <w:rPr>
          <w:rStyle w:val="29"/>
          <w:rFonts w:hint="eastAsia" w:ascii="仿宋" w:hAnsi="仿宋" w:eastAsia="仿宋"/>
          <w:lang w:val="en-US" w:eastAsia="zh-CN"/>
        </w:rPr>
        <w:t xml:space="preserve"> </w:t>
      </w:r>
      <w:r>
        <w:rPr>
          <w:rFonts w:hint="eastAsia" w:ascii="仿宋" w:hAnsi="仿宋" w:eastAsia="仿宋" w:cs="仿宋_GB2312"/>
          <w:sz w:val="32"/>
          <w:szCs w:val="32"/>
        </w:rPr>
        <w:t>国家</w:t>
      </w:r>
      <w:r>
        <w:rPr>
          <w:rFonts w:ascii="仿宋" w:hAnsi="仿宋" w:eastAsia="仿宋" w:cs="仿宋_GB2312"/>
          <w:sz w:val="32"/>
          <w:szCs w:val="32"/>
        </w:rPr>
        <w:t>坚持</w:t>
      </w:r>
      <w:r>
        <w:rPr>
          <w:rFonts w:hint="eastAsia" w:ascii="仿宋" w:hAnsi="仿宋" w:eastAsia="仿宋" w:cs="仿宋_GB2312"/>
          <w:sz w:val="32"/>
          <w:szCs w:val="32"/>
        </w:rPr>
        <w:t>发展与安全并重。开展生物技术研究开发活动，不得危害国家生物安全、损害社会公共利益、违反伦理道德。</w:t>
      </w:r>
    </w:p>
    <w:p>
      <w:pPr>
        <w:pStyle w:val="12"/>
        <w:widowControl w:val="0"/>
        <w:adjustRightInd w:val="0"/>
        <w:snapToGrid w:val="0"/>
        <w:spacing w:before="0" w:beforeAutospacing="0" w:after="0" w:afterAutospacing="0" w:line="360" w:lineRule="auto"/>
        <w:ind w:firstLine="643" w:firstLineChars="200"/>
        <w:jc w:val="both"/>
        <w:rPr>
          <w:rFonts w:ascii="仿宋" w:hAnsi="仿宋" w:eastAsia="仿宋" w:cs="仿宋_GB2312"/>
          <w:bCs/>
          <w:kern w:val="2"/>
          <w:sz w:val="32"/>
          <w:szCs w:val="22"/>
        </w:rPr>
      </w:pPr>
      <w:bookmarkStart w:id="6" w:name="_Toc2841886"/>
      <w:r>
        <w:rPr>
          <w:rStyle w:val="29"/>
          <w:rFonts w:hint="eastAsia" w:ascii="仿宋" w:hAnsi="仿宋"/>
        </w:rPr>
        <w:t>第六条</w:t>
      </w:r>
      <w:bookmarkEnd w:id="6"/>
      <w:r>
        <w:rPr>
          <w:rStyle w:val="29"/>
          <w:rFonts w:hint="eastAsia" w:ascii="仿宋" w:hAnsi="仿宋" w:eastAsia="仿宋"/>
          <w:lang w:val="en-US" w:eastAsia="zh-CN"/>
        </w:rPr>
        <w:t xml:space="preserve"> </w:t>
      </w:r>
      <w:r>
        <w:rPr>
          <w:rFonts w:hint="eastAsia" w:ascii="仿宋" w:hAnsi="仿宋" w:eastAsia="仿宋" w:cs="仿宋_GB2312"/>
          <w:bCs/>
          <w:kern w:val="2"/>
          <w:sz w:val="32"/>
          <w:szCs w:val="22"/>
        </w:rPr>
        <w:t>国家</w:t>
      </w:r>
      <w:r>
        <w:rPr>
          <w:rFonts w:ascii="仿宋" w:hAnsi="仿宋" w:eastAsia="仿宋" w:cs="仿宋_GB2312"/>
          <w:bCs/>
          <w:kern w:val="2"/>
          <w:sz w:val="32"/>
          <w:szCs w:val="22"/>
        </w:rPr>
        <w:t>禁止开展</w:t>
      </w:r>
      <w:r>
        <w:rPr>
          <w:rFonts w:hint="eastAsia" w:ascii="仿宋" w:hAnsi="仿宋" w:eastAsia="仿宋" w:cs="仿宋_GB2312"/>
          <w:bCs/>
          <w:kern w:val="2"/>
          <w:sz w:val="32"/>
          <w:szCs w:val="22"/>
        </w:rPr>
        <w:t>对人类健康、工农业及生态环境等造成极其严重负面影响，严重威胁国家生物安全，严重</w:t>
      </w:r>
      <w:r>
        <w:rPr>
          <w:rFonts w:hint="eastAsia" w:ascii="仿宋" w:hAnsi="仿宋" w:eastAsia="仿宋" w:cs="仿宋_GB2312"/>
          <w:sz w:val="32"/>
          <w:szCs w:val="32"/>
        </w:rPr>
        <w:t>违反伦理道德</w:t>
      </w:r>
      <w:r>
        <w:rPr>
          <w:rFonts w:hint="eastAsia" w:ascii="仿宋" w:hAnsi="仿宋" w:eastAsia="仿宋" w:cs="仿宋_GB2312"/>
          <w:bCs/>
          <w:kern w:val="2"/>
          <w:sz w:val="32"/>
          <w:szCs w:val="22"/>
        </w:rPr>
        <w:t>的生物技术研究开发活动。</w:t>
      </w:r>
    </w:p>
    <w:p>
      <w:pPr>
        <w:pStyle w:val="12"/>
        <w:widowControl w:val="0"/>
        <w:adjustRightInd w:val="0"/>
        <w:snapToGrid w:val="0"/>
        <w:spacing w:before="0" w:beforeAutospacing="0" w:after="0" w:afterAutospacing="0" w:line="360" w:lineRule="auto"/>
        <w:ind w:firstLine="640" w:firstLineChars="200"/>
        <w:jc w:val="both"/>
        <w:rPr>
          <w:rFonts w:ascii="仿宋" w:hAnsi="仿宋" w:eastAsia="仿宋" w:cs="仿宋_GB2312"/>
          <w:sz w:val="32"/>
          <w:szCs w:val="32"/>
        </w:rPr>
      </w:pPr>
      <w:r>
        <w:rPr>
          <w:rFonts w:hint="eastAsia" w:ascii="仿宋" w:hAnsi="仿宋" w:eastAsia="仿宋" w:cs="仿宋_GB2312"/>
          <w:bCs/>
          <w:kern w:val="2"/>
          <w:sz w:val="32"/>
          <w:szCs w:val="22"/>
        </w:rPr>
        <w:t>国务院科学技术行政部门负责制定禁止类生物技术研究开发活动清单，对清单进行动态评估、适时修订并</w:t>
      </w:r>
      <w:r>
        <w:rPr>
          <w:rFonts w:ascii="仿宋" w:hAnsi="仿宋" w:eastAsia="仿宋" w:cs="仿宋_GB2312"/>
          <w:bCs/>
          <w:kern w:val="2"/>
          <w:sz w:val="32"/>
          <w:szCs w:val="22"/>
        </w:rPr>
        <w:t>及时发布</w:t>
      </w:r>
      <w:r>
        <w:rPr>
          <w:rFonts w:hint="eastAsia" w:ascii="仿宋" w:hAnsi="仿宋" w:eastAsia="仿宋" w:cs="仿宋_GB2312"/>
          <w:bCs/>
          <w:kern w:val="2"/>
          <w:sz w:val="32"/>
          <w:szCs w:val="22"/>
        </w:rPr>
        <w:t>。</w:t>
      </w:r>
    </w:p>
    <w:p>
      <w:pPr>
        <w:pStyle w:val="12"/>
        <w:widowControl w:val="0"/>
        <w:adjustRightInd w:val="0"/>
        <w:snapToGrid w:val="0"/>
        <w:spacing w:before="0" w:beforeAutospacing="0" w:after="0" w:afterAutospacing="0" w:line="360" w:lineRule="auto"/>
        <w:ind w:firstLine="643" w:firstLineChars="200"/>
        <w:jc w:val="both"/>
        <w:rPr>
          <w:rFonts w:ascii="仿宋" w:hAnsi="仿宋" w:eastAsia="仿宋" w:cs="仿宋_GB2312"/>
          <w:sz w:val="32"/>
          <w:szCs w:val="32"/>
        </w:rPr>
      </w:pPr>
      <w:bookmarkStart w:id="7" w:name="_Toc2841887"/>
      <w:r>
        <w:rPr>
          <w:rStyle w:val="29"/>
          <w:rFonts w:hint="eastAsia" w:ascii="仿宋" w:hAnsi="仿宋"/>
        </w:rPr>
        <w:t>第七条</w:t>
      </w:r>
      <w:bookmarkEnd w:id="7"/>
      <w:r>
        <w:rPr>
          <w:rStyle w:val="29"/>
          <w:rFonts w:hint="eastAsia" w:ascii="仿宋" w:hAnsi="仿宋" w:eastAsia="仿宋"/>
          <w:lang w:val="en-US" w:eastAsia="zh-CN"/>
        </w:rPr>
        <w:t xml:space="preserve"> </w:t>
      </w:r>
      <w:r>
        <w:rPr>
          <w:rFonts w:hint="eastAsia" w:ascii="仿宋" w:hAnsi="仿宋" w:eastAsia="仿宋" w:cs="仿宋_GB2312"/>
          <w:sz w:val="32"/>
          <w:szCs w:val="32"/>
        </w:rPr>
        <w:t>国家加强对生物技术研究开发活动安全管理，根据活动的风险程度，实行分级管理。</w:t>
      </w:r>
    </w:p>
    <w:p>
      <w:pPr>
        <w:pStyle w:val="12"/>
        <w:widowControl w:val="0"/>
        <w:adjustRightInd w:val="0"/>
        <w:snapToGrid w:val="0"/>
        <w:spacing w:before="0" w:beforeAutospacing="0" w:after="0" w:afterAutospacing="0" w:line="360" w:lineRule="auto"/>
        <w:ind w:firstLine="643" w:firstLineChars="200"/>
        <w:jc w:val="both"/>
        <w:rPr>
          <w:rFonts w:ascii="仿宋" w:hAnsi="仿宋" w:eastAsia="仿宋" w:cs="仿宋_GB2312"/>
          <w:sz w:val="32"/>
          <w:szCs w:val="32"/>
        </w:rPr>
      </w:pPr>
      <w:bookmarkStart w:id="8" w:name="_Toc2841888"/>
      <w:r>
        <w:rPr>
          <w:rStyle w:val="29"/>
          <w:rFonts w:hint="eastAsia" w:ascii="仿宋" w:hAnsi="仿宋"/>
        </w:rPr>
        <w:t>第八条</w:t>
      </w:r>
      <w:bookmarkEnd w:id="8"/>
      <w:r>
        <w:rPr>
          <w:rStyle w:val="29"/>
          <w:rFonts w:hint="eastAsia" w:ascii="仿宋" w:hAnsi="仿宋" w:eastAsia="仿宋"/>
          <w:lang w:val="en-US" w:eastAsia="zh-CN"/>
        </w:rPr>
        <w:t xml:space="preserve"> </w:t>
      </w:r>
      <w:r>
        <w:rPr>
          <w:rFonts w:hint="eastAsia" w:ascii="仿宋" w:hAnsi="仿宋" w:eastAsia="仿宋" w:cs="仿宋_GB2312"/>
          <w:sz w:val="32"/>
          <w:szCs w:val="32"/>
        </w:rPr>
        <w:t>国务院科学技术行政部门负责全国生物技术研究开发安全管理工作；国务院其他有关部门在各自职责范围内，负责生物技术研究开发安全管理相关工作。</w:t>
      </w:r>
    </w:p>
    <w:p>
      <w:pPr>
        <w:pStyle w:val="12"/>
        <w:widowControl w:val="0"/>
        <w:adjustRightInd w:val="0"/>
        <w:snapToGrid w:val="0"/>
        <w:spacing w:before="0" w:beforeAutospacing="0" w:after="0" w:afterAutospacing="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省、自治区、直辖市人民政府科学技术行政部门负责本行政区域生物技术研究开发安全管理工作；省、自治区、直辖市人民政府其他有关部门在各自职责范围内，负责本行政区域生物技术研究开发安全管理相关工作。</w:t>
      </w:r>
    </w:p>
    <w:p>
      <w:pPr>
        <w:pStyle w:val="12"/>
        <w:widowControl w:val="0"/>
        <w:adjustRightInd w:val="0"/>
        <w:snapToGrid w:val="0"/>
        <w:spacing w:before="0" w:beforeAutospacing="0" w:after="0" w:afterAutospacing="0" w:line="360" w:lineRule="auto"/>
        <w:ind w:firstLine="643" w:firstLineChars="200"/>
        <w:jc w:val="both"/>
        <w:rPr>
          <w:rFonts w:ascii="仿宋" w:hAnsi="仿宋" w:eastAsia="仿宋" w:cs="仿宋_GB2312"/>
          <w:sz w:val="32"/>
          <w:szCs w:val="32"/>
        </w:rPr>
      </w:pPr>
      <w:bookmarkStart w:id="9" w:name="_Toc2841889"/>
      <w:r>
        <w:rPr>
          <w:rStyle w:val="29"/>
          <w:rFonts w:hint="eastAsia" w:ascii="仿宋" w:hAnsi="仿宋"/>
        </w:rPr>
        <w:t>第九条</w:t>
      </w:r>
      <w:bookmarkEnd w:id="9"/>
      <w:r>
        <w:rPr>
          <w:rStyle w:val="29"/>
          <w:rFonts w:hint="eastAsia" w:ascii="仿宋" w:hAnsi="仿宋" w:eastAsia="仿宋"/>
          <w:lang w:val="en-US" w:eastAsia="zh-CN"/>
        </w:rPr>
        <w:t xml:space="preserve"> </w:t>
      </w:r>
      <w:r>
        <w:rPr>
          <w:rFonts w:hint="eastAsia" w:ascii="仿宋" w:hAnsi="仿宋" w:eastAsia="仿宋" w:cs="仿宋_GB2312"/>
          <w:sz w:val="32"/>
          <w:szCs w:val="32"/>
        </w:rPr>
        <w:t>开展生物技术研究开发活动的单位对本单位生物技术研究开发的安全负责。</w:t>
      </w:r>
    </w:p>
    <w:p>
      <w:pPr>
        <w:pStyle w:val="2"/>
        <w:keepNext w:val="0"/>
        <w:keepLines w:val="0"/>
        <w:adjustRightInd w:val="0"/>
        <w:snapToGrid w:val="0"/>
        <w:spacing w:before="312" w:beforeLines="100" w:after="312" w:afterLines="100" w:line="360" w:lineRule="auto"/>
        <w:jc w:val="center"/>
        <w:rPr>
          <w:rFonts w:ascii="仿宋" w:hAnsi="仿宋" w:cs="仿宋_GB2312"/>
          <w:szCs w:val="32"/>
        </w:rPr>
      </w:pPr>
      <w:bookmarkStart w:id="10" w:name="_Toc2841890"/>
      <w:r>
        <w:rPr>
          <w:rFonts w:hint="eastAsia" w:ascii="仿宋" w:hAnsi="仿宋"/>
        </w:rPr>
        <w:t>第二章　分级</w:t>
      </w:r>
      <w:r>
        <w:rPr>
          <w:rFonts w:ascii="仿宋" w:hAnsi="仿宋"/>
        </w:rPr>
        <w:t>管理</w:t>
      </w:r>
      <w:bookmarkEnd w:id="10"/>
    </w:p>
    <w:p>
      <w:pPr>
        <w:pStyle w:val="12"/>
        <w:widowControl w:val="0"/>
        <w:adjustRightInd w:val="0"/>
        <w:snapToGrid w:val="0"/>
        <w:spacing w:before="0" w:beforeAutospacing="0" w:after="0" w:afterAutospacing="0" w:line="360" w:lineRule="auto"/>
        <w:ind w:firstLine="643" w:firstLineChars="200"/>
        <w:jc w:val="both"/>
        <w:rPr>
          <w:rFonts w:ascii="仿宋" w:hAnsi="仿宋" w:eastAsia="仿宋" w:cs="仿宋_GB2312"/>
          <w:bCs/>
          <w:kern w:val="2"/>
          <w:sz w:val="32"/>
          <w:szCs w:val="32"/>
        </w:rPr>
      </w:pPr>
      <w:bookmarkStart w:id="11" w:name="_Toc2841891"/>
      <w:r>
        <w:rPr>
          <w:rStyle w:val="29"/>
          <w:rFonts w:hint="eastAsia" w:ascii="仿宋" w:hAnsi="仿宋"/>
        </w:rPr>
        <w:t>第十条</w:t>
      </w:r>
      <w:bookmarkEnd w:id="11"/>
      <w:r>
        <w:rPr>
          <w:rStyle w:val="29"/>
          <w:rFonts w:hint="eastAsia" w:ascii="仿宋" w:hAnsi="仿宋" w:eastAsia="仿宋"/>
          <w:lang w:val="en-US" w:eastAsia="zh-CN"/>
        </w:rPr>
        <w:t xml:space="preserve"> </w:t>
      </w:r>
      <w:r>
        <w:rPr>
          <w:rFonts w:hint="eastAsia" w:ascii="仿宋" w:hAnsi="仿宋" w:eastAsia="仿宋" w:cs="仿宋_GB2312"/>
          <w:bCs/>
          <w:kern w:val="2"/>
          <w:sz w:val="32"/>
          <w:szCs w:val="22"/>
        </w:rPr>
        <w:t>根据现实和潜在风险程度，生物技术研究开发活动分为高风险、一般风险和低风险3个等级。</w:t>
      </w:r>
    </w:p>
    <w:p>
      <w:pPr>
        <w:pStyle w:val="12"/>
        <w:widowControl w:val="0"/>
        <w:adjustRightInd w:val="0"/>
        <w:snapToGrid w:val="0"/>
        <w:spacing w:before="0" w:beforeAutospacing="0" w:after="0" w:afterAutospacing="0" w:line="360" w:lineRule="auto"/>
        <w:ind w:firstLine="643" w:firstLineChars="200"/>
        <w:jc w:val="both"/>
        <w:rPr>
          <w:rFonts w:ascii="仿宋" w:hAnsi="仿宋" w:eastAsia="仿宋" w:cs="仿宋_GB2312"/>
          <w:bCs/>
          <w:kern w:val="2"/>
          <w:sz w:val="32"/>
          <w:szCs w:val="22"/>
        </w:rPr>
      </w:pPr>
      <w:bookmarkStart w:id="12" w:name="_Toc2841892"/>
      <w:r>
        <w:rPr>
          <w:rStyle w:val="29"/>
          <w:rFonts w:hint="eastAsia" w:ascii="仿宋" w:hAnsi="仿宋"/>
        </w:rPr>
        <w:t>第十一条</w:t>
      </w:r>
      <w:bookmarkEnd w:id="12"/>
      <w:r>
        <w:rPr>
          <w:rStyle w:val="29"/>
          <w:rFonts w:hint="eastAsia" w:ascii="仿宋" w:hAnsi="仿宋" w:eastAsia="仿宋"/>
          <w:lang w:val="en-US" w:eastAsia="zh-CN"/>
        </w:rPr>
        <w:t xml:space="preserve"> </w:t>
      </w:r>
      <w:r>
        <w:rPr>
          <w:rFonts w:hint="eastAsia" w:ascii="仿宋" w:hAnsi="仿宋" w:eastAsia="仿宋" w:cs="仿宋_GB2312"/>
          <w:bCs/>
          <w:kern w:val="2"/>
          <w:sz w:val="32"/>
          <w:szCs w:val="22"/>
        </w:rPr>
        <w:t>高风险生物技术研究开发活动是指生物技术研究开发活动及其产品和</w:t>
      </w:r>
      <w:r>
        <w:rPr>
          <w:rFonts w:ascii="仿宋" w:hAnsi="仿宋" w:eastAsia="仿宋" w:cs="仿宋_GB2312"/>
          <w:bCs/>
          <w:kern w:val="2"/>
          <w:sz w:val="32"/>
          <w:szCs w:val="22"/>
        </w:rPr>
        <w:t>服务</w:t>
      </w:r>
      <w:r>
        <w:rPr>
          <w:rFonts w:hint="eastAsia" w:ascii="仿宋" w:hAnsi="仿宋" w:eastAsia="仿宋" w:cs="仿宋_GB2312"/>
          <w:bCs/>
          <w:kern w:val="2"/>
          <w:sz w:val="32"/>
          <w:szCs w:val="22"/>
        </w:rPr>
        <w:t>，具有对人类健康、工农业及生态环境等造成严重负面影响，威胁国家生物安全，违反</w:t>
      </w:r>
      <w:r>
        <w:rPr>
          <w:rFonts w:ascii="仿宋" w:hAnsi="仿宋" w:eastAsia="仿宋" w:cs="仿宋_GB2312"/>
          <w:bCs/>
          <w:kern w:val="2"/>
          <w:sz w:val="32"/>
          <w:szCs w:val="22"/>
        </w:rPr>
        <w:t>伦理道德</w:t>
      </w:r>
      <w:r>
        <w:rPr>
          <w:rFonts w:hint="eastAsia" w:ascii="仿宋" w:hAnsi="仿宋" w:eastAsia="仿宋" w:cs="仿宋_GB2312"/>
          <w:bCs/>
          <w:kern w:val="2"/>
          <w:sz w:val="32"/>
          <w:szCs w:val="22"/>
        </w:rPr>
        <w:t>的潜在风险的研究开发活动。</w:t>
      </w:r>
    </w:p>
    <w:p>
      <w:pPr>
        <w:pStyle w:val="12"/>
        <w:widowControl w:val="0"/>
        <w:adjustRightInd w:val="0"/>
        <w:snapToGrid w:val="0"/>
        <w:spacing w:before="0" w:beforeAutospacing="0" w:after="0" w:afterAutospacing="0" w:line="360" w:lineRule="auto"/>
        <w:ind w:firstLine="640" w:firstLineChars="200"/>
        <w:jc w:val="both"/>
        <w:rPr>
          <w:rFonts w:ascii="仿宋" w:hAnsi="仿宋" w:eastAsia="仿宋" w:cs="仿宋_GB2312"/>
          <w:bCs/>
          <w:kern w:val="2"/>
          <w:sz w:val="32"/>
          <w:szCs w:val="22"/>
        </w:rPr>
      </w:pPr>
      <w:r>
        <w:rPr>
          <w:rFonts w:hint="eastAsia" w:ascii="仿宋" w:hAnsi="仿宋" w:eastAsia="仿宋" w:cs="仿宋_GB2312"/>
          <w:bCs/>
          <w:kern w:val="2"/>
          <w:sz w:val="32"/>
          <w:szCs w:val="22"/>
        </w:rPr>
        <w:t>一般风险生物技术研究开发活动是指生物技术研究开发活动及其产品和</w:t>
      </w:r>
      <w:r>
        <w:rPr>
          <w:rFonts w:ascii="仿宋" w:hAnsi="仿宋" w:eastAsia="仿宋" w:cs="仿宋_GB2312"/>
          <w:bCs/>
          <w:kern w:val="2"/>
          <w:sz w:val="32"/>
          <w:szCs w:val="22"/>
        </w:rPr>
        <w:t>服务</w:t>
      </w:r>
      <w:r>
        <w:rPr>
          <w:rFonts w:hint="eastAsia" w:ascii="仿宋" w:hAnsi="仿宋" w:eastAsia="仿宋" w:cs="仿宋_GB2312"/>
          <w:bCs/>
          <w:kern w:val="2"/>
          <w:sz w:val="32"/>
          <w:szCs w:val="22"/>
        </w:rPr>
        <w:t>，具有对人类健康、工农业及生态环境等造成一定负面影响的潜在风险的研究开发活动。</w:t>
      </w:r>
    </w:p>
    <w:p>
      <w:pPr>
        <w:pStyle w:val="12"/>
        <w:widowControl w:val="0"/>
        <w:adjustRightInd w:val="0"/>
        <w:snapToGrid w:val="0"/>
        <w:spacing w:before="0" w:beforeAutospacing="0" w:after="0" w:afterAutospacing="0" w:line="360" w:lineRule="auto"/>
        <w:ind w:firstLine="640" w:firstLineChars="200"/>
        <w:jc w:val="both"/>
        <w:rPr>
          <w:rFonts w:ascii="仿宋" w:hAnsi="仿宋" w:eastAsia="仿宋" w:cs="仿宋_GB2312"/>
          <w:bCs/>
          <w:kern w:val="2"/>
          <w:sz w:val="32"/>
          <w:szCs w:val="22"/>
        </w:rPr>
      </w:pPr>
      <w:r>
        <w:rPr>
          <w:rFonts w:hint="eastAsia" w:ascii="仿宋" w:hAnsi="仿宋" w:eastAsia="仿宋" w:cs="仿宋_GB2312"/>
          <w:bCs/>
          <w:kern w:val="2"/>
          <w:sz w:val="32"/>
          <w:szCs w:val="22"/>
        </w:rPr>
        <w:t>低风险生物技术研究开发活动是指生物技术研究开发活动及其产品和</w:t>
      </w:r>
      <w:r>
        <w:rPr>
          <w:rFonts w:ascii="仿宋" w:hAnsi="仿宋" w:eastAsia="仿宋" w:cs="仿宋_GB2312"/>
          <w:bCs/>
          <w:kern w:val="2"/>
          <w:sz w:val="32"/>
          <w:szCs w:val="22"/>
        </w:rPr>
        <w:t>服务</w:t>
      </w:r>
      <w:r>
        <w:rPr>
          <w:rFonts w:hint="eastAsia" w:ascii="仿宋" w:hAnsi="仿宋" w:eastAsia="仿宋" w:cs="仿宋_GB2312"/>
          <w:bCs/>
          <w:kern w:val="2"/>
          <w:sz w:val="32"/>
          <w:szCs w:val="22"/>
        </w:rPr>
        <w:t>，对人类健康、工农业及生态环境等不造成或者</w:t>
      </w:r>
      <w:r>
        <w:rPr>
          <w:rFonts w:ascii="仿宋" w:hAnsi="仿宋" w:eastAsia="仿宋" w:cs="仿宋_GB2312"/>
          <w:bCs/>
          <w:kern w:val="2"/>
          <w:sz w:val="32"/>
          <w:szCs w:val="22"/>
        </w:rPr>
        <w:t>造成</w:t>
      </w:r>
      <w:r>
        <w:rPr>
          <w:rFonts w:hint="eastAsia" w:ascii="仿宋" w:hAnsi="仿宋" w:eastAsia="仿宋" w:cs="仿宋_GB2312"/>
          <w:bCs/>
          <w:kern w:val="2"/>
          <w:sz w:val="32"/>
          <w:szCs w:val="22"/>
        </w:rPr>
        <w:t>较</w:t>
      </w:r>
      <w:r>
        <w:rPr>
          <w:rFonts w:ascii="仿宋" w:hAnsi="仿宋" w:eastAsia="仿宋" w:cs="仿宋_GB2312"/>
          <w:bCs/>
          <w:kern w:val="2"/>
          <w:sz w:val="32"/>
          <w:szCs w:val="22"/>
        </w:rPr>
        <w:t>小</w:t>
      </w:r>
      <w:r>
        <w:rPr>
          <w:rFonts w:hint="eastAsia" w:ascii="仿宋" w:hAnsi="仿宋" w:eastAsia="仿宋" w:cs="仿宋_GB2312"/>
          <w:bCs/>
          <w:kern w:val="2"/>
          <w:sz w:val="32"/>
          <w:szCs w:val="22"/>
        </w:rPr>
        <w:t>负面影响的研究开发活动。</w:t>
      </w:r>
    </w:p>
    <w:p>
      <w:pPr>
        <w:pStyle w:val="12"/>
        <w:widowControl w:val="0"/>
        <w:adjustRightInd w:val="0"/>
        <w:snapToGrid w:val="0"/>
        <w:spacing w:before="0" w:beforeAutospacing="0" w:after="0" w:afterAutospacing="0" w:line="360" w:lineRule="auto"/>
        <w:ind w:firstLine="643" w:firstLineChars="200"/>
        <w:jc w:val="both"/>
        <w:rPr>
          <w:rFonts w:ascii="仿宋" w:hAnsi="仿宋" w:eastAsia="仿宋" w:cs="仿宋_GB2312"/>
          <w:bCs/>
          <w:kern w:val="2"/>
          <w:sz w:val="32"/>
          <w:szCs w:val="22"/>
        </w:rPr>
      </w:pPr>
      <w:bookmarkStart w:id="13" w:name="_Toc2841893"/>
      <w:r>
        <w:rPr>
          <w:rStyle w:val="29"/>
          <w:rFonts w:hint="eastAsia" w:ascii="仿宋" w:hAnsi="仿宋"/>
        </w:rPr>
        <w:t>第十二条</w:t>
      </w:r>
      <w:bookmarkEnd w:id="13"/>
      <w:r>
        <w:rPr>
          <w:rStyle w:val="29"/>
          <w:rFonts w:hint="eastAsia" w:ascii="仿宋" w:hAnsi="仿宋" w:eastAsia="仿宋"/>
          <w:lang w:val="en-US" w:eastAsia="zh-CN"/>
        </w:rPr>
        <w:t xml:space="preserve"> </w:t>
      </w:r>
      <w:r>
        <w:rPr>
          <w:rFonts w:hint="eastAsia" w:ascii="仿宋" w:hAnsi="仿宋" w:eastAsia="仿宋" w:cs="仿宋_GB2312"/>
          <w:bCs/>
          <w:kern w:val="2"/>
          <w:sz w:val="32"/>
          <w:szCs w:val="22"/>
        </w:rPr>
        <w:t>国务院科学技术行政部门负责制定高风险和一般风险生物技术研究开发活动清单，对清单进行动态评估、适时修订并</w:t>
      </w:r>
      <w:r>
        <w:rPr>
          <w:rFonts w:ascii="仿宋" w:hAnsi="仿宋" w:eastAsia="仿宋" w:cs="仿宋_GB2312"/>
          <w:bCs/>
          <w:kern w:val="2"/>
          <w:sz w:val="32"/>
          <w:szCs w:val="22"/>
        </w:rPr>
        <w:t>及时发布</w:t>
      </w:r>
      <w:r>
        <w:rPr>
          <w:rFonts w:hint="eastAsia" w:ascii="仿宋" w:hAnsi="仿宋" w:eastAsia="仿宋" w:cs="仿宋_GB2312"/>
          <w:bCs/>
          <w:kern w:val="2"/>
          <w:sz w:val="32"/>
          <w:szCs w:val="22"/>
        </w:rPr>
        <w:t>。</w:t>
      </w:r>
    </w:p>
    <w:p>
      <w:pPr>
        <w:pStyle w:val="12"/>
        <w:widowControl w:val="0"/>
        <w:adjustRightInd w:val="0"/>
        <w:snapToGrid w:val="0"/>
        <w:spacing w:before="0" w:beforeAutospacing="0" w:after="0" w:afterAutospacing="0" w:line="360" w:lineRule="auto"/>
        <w:ind w:firstLine="643" w:firstLineChars="200"/>
        <w:jc w:val="both"/>
        <w:rPr>
          <w:rFonts w:ascii="仿宋" w:hAnsi="仿宋" w:eastAsia="仿宋" w:cs="仿宋_GB2312"/>
          <w:bCs/>
          <w:kern w:val="2"/>
          <w:sz w:val="32"/>
          <w:szCs w:val="22"/>
        </w:rPr>
      </w:pPr>
      <w:bookmarkStart w:id="14" w:name="_Toc2841894"/>
      <w:r>
        <w:rPr>
          <w:rStyle w:val="29"/>
          <w:rFonts w:hint="eastAsia" w:ascii="仿宋" w:hAnsi="仿宋"/>
        </w:rPr>
        <w:t>第十三条</w:t>
      </w:r>
      <w:bookmarkEnd w:id="14"/>
      <w:r>
        <w:rPr>
          <w:rStyle w:val="29"/>
          <w:rFonts w:hint="eastAsia" w:ascii="仿宋" w:hAnsi="仿宋" w:eastAsia="仿宋"/>
          <w:lang w:val="en-US" w:eastAsia="zh-CN"/>
        </w:rPr>
        <w:t xml:space="preserve"> </w:t>
      </w:r>
      <w:r>
        <w:rPr>
          <w:rFonts w:hint="eastAsia" w:ascii="仿宋" w:hAnsi="仿宋" w:eastAsia="仿宋" w:cs="仿宋_GB2312"/>
          <w:bCs/>
          <w:kern w:val="2"/>
          <w:sz w:val="32"/>
          <w:szCs w:val="22"/>
        </w:rPr>
        <w:t>开展高风险生物技术研究开发活动应</w:t>
      </w:r>
      <w:r>
        <w:rPr>
          <w:rFonts w:ascii="仿宋" w:hAnsi="仿宋" w:eastAsia="仿宋" w:cs="仿宋_GB2312"/>
          <w:bCs/>
          <w:kern w:val="2"/>
          <w:sz w:val="32"/>
          <w:szCs w:val="22"/>
        </w:rPr>
        <w:t>符合下列条件</w:t>
      </w:r>
      <w:r>
        <w:rPr>
          <w:rFonts w:hint="eastAsia" w:ascii="仿宋" w:hAnsi="仿宋" w:eastAsia="仿宋" w:cs="仿宋_GB2312"/>
          <w:bCs/>
          <w:kern w:val="2"/>
          <w:sz w:val="32"/>
          <w:szCs w:val="22"/>
        </w:rPr>
        <w:t>，</w:t>
      </w:r>
      <w:r>
        <w:rPr>
          <w:rFonts w:ascii="仿宋" w:hAnsi="仿宋" w:eastAsia="仿宋" w:cs="仿宋_GB2312"/>
          <w:bCs/>
          <w:kern w:val="2"/>
          <w:sz w:val="32"/>
          <w:szCs w:val="22"/>
        </w:rPr>
        <w:t>并经</w:t>
      </w:r>
      <w:r>
        <w:rPr>
          <w:rFonts w:hint="eastAsia" w:ascii="仿宋" w:hAnsi="仿宋" w:eastAsia="仿宋" w:cs="仿宋_GB2312"/>
          <w:bCs/>
          <w:kern w:val="2"/>
          <w:sz w:val="32"/>
          <w:szCs w:val="22"/>
        </w:rPr>
        <w:t>所在地</w:t>
      </w:r>
      <w:r>
        <w:rPr>
          <w:rFonts w:hint="eastAsia" w:ascii="仿宋" w:hAnsi="仿宋" w:eastAsia="仿宋" w:cs="仿宋_GB2312"/>
          <w:sz w:val="32"/>
          <w:szCs w:val="32"/>
        </w:rPr>
        <w:t>省、自治区、直辖市人民政府科学技术行政部门批准</w:t>
      </w:r>
      <w:r>
        <w:rPr>
          <w:rFonts w:hint="eastAsia" w:ascii="仿宋" w:hAnsi="仿宋" w:eastAsia="仿宋" w:cs="仿宋_GB2312"/>
          <w:bCs/>
          <w:kern w:val="2"/>
          <w:sz w:val="32"/>
          <w:szCs w:val="22"/>
        </w:rPr>
        <w:t>：</w:t>
      </w:r>
    </w:p>
    <w:p>
      <w:pPr>
        <w:pStyle w:val="12"/>
        <w:adjustRightInd w:val="0"/>
        <w:snapToGrid w:val="0"/>
        <w:spacing w:before="0" w:beforeAutospacing="0" w:after="0" w:afterAutospacing="0" w:line="360" w:lineRule="auto"/>
        <w:ind w:firstLine="640" w:firstLineChars="200"/>
        <w:jc w:val="both"/>
        <w:rPr>
          <w:rFonts w:ascii="仿宋" w:hAnsi="仿宋" w:eastAsia="仿宋" w:cs="仿宋_GB2312"/>
          <w:bCs/>
          <w:kern w:val="2"/>
          <w:sz w:val="32"/>
          <w:szCs w:val="22"/>
        </w:rPr>
      </w:pPr>
      <w:r>
        <w:rPr>
          <w:rFonts w:hint="eastAsia" w:ascii="仿宋" w:hAnsi="仿宋" w:eastAsia="仿宋" w:cs="仿宋_GB2312"/>
          <w:bCs/>
          <w:kern w:val="2"/>
          <w:sz w:val="32"/>
          <w:szCs w:val="22"/>
        </w:rPr>
        <w:t>（一）由在中华人民共和国境内注册的法人单位实施；</w:t>
      </w:r>
    </w:p>
    <w:p>
      <w:pPr>
        <w:pStyle w:val="12"/>
        <w:adjustRightInd w:val="0"/>
        <w:snapToGrid w:val="0"/>
        <w:spacing w:before="0" w:beforeAutospacing="0" w:after="0" w:afterAutospacing="0" w:line="360" w:lineRule="auto"/>
        <w:ind w:firstLine="640" w:firstLineChars="200"/>
        <w:jc w:val="both"/>
        <w:rPr>
          <w:rFonts w:ascii="仿宋" w:hAnsi="仿宋" w:eastAsia="仿宋" w:cs="仿宋_GB2312"/>
          <w:bCs/>
          <w:kern w:val="2"/>
          <w:sz w:val="32"/>
          <w:szCs w:val="22"/>
        </w:rPr>
      </w:pPr>
      <w:r>
        <w:rPr>
          <w:rFonts w:hint="eastAsia" w:ascii="仿宋" w:hAnsi="仿宋" w:eastAsia="仿宋" w:cs="仿宋_GB2312"/>
          <w:bCs/>
          <w:kern w:val="2"/>
          <w:sz w:val="32"/>
          <w:szCs w:val="22"/>
        </w:rPr>
        <w:t>（二）具有</w:t>
      </w:r>
      <w:r>
        <w:rPr>
          <w:rFonts w:ascii="仿宋" w:hAnsi="仿宋" w:eastAsia="仿宋" w:cs="仿宋_GB2312"/>
          <w:bCs/>
          <w:kern w:val="2"/>
          <w:sz w:val="32"/>
          <w:szCs w:val="22"/>
        </w:rPr>
        <w:t>研究方案</w:t>
      </w:r>
      <w:r>
        <w:rPr>
          <w:rFonts w:hint="eastAsia" w:ascii="仿宋" w:hAnsi="仿宋" w:eastAsia="仿宋" w:cs="仿宋_GB2312"/>
          <w:bCs/>
          <w:kern w:val="2"/>
          <w:sz w:val="32"/>
          <w:szCs w:val="22"/>
        </w:rPr>
        <w:t>，包括</w:t>
      </w:r>
      <w:r>
        <w:rPr>
          <w:rFonts w:ascii="仿宋" w:hAnsi="仿宋" w:eastAsia="仿宋" w:cs="仿宋_GB2312"/>
          <w:bCs/>
          <w:kern w:val="2"/>
          <w:sz w:val="32"/>
          <w:szCs w:val="22"/>
        </w:rPr>
        <w:t>研究目的、研究内容、</w:t>
      </w:r>
      <w:r>
        <w:rPr>
          <w:rFonts w:hint="eastAsia" w:ascii="仿宋" w:hAnsi="仿宋" w:eastAsia="仿宋" w:cs="仿宋_GB2312"/>
          <w:bCs/>
          <w:kern w:val="2"/>
          <w:sz w:val="32"/>
          <w:szCs w:val="22"/>
        </w:rPr>
        <w:t>研究</w:t>
      </w:r>
      <w:r>
        <w:rPr>
          <w:rFonts w:ascii="仿宋" w:hAnsi="仿宋" w:eastAsia="仿宋" w:cs="仿宋_GB2312"/>
          <w:bCs/>
          <w:kern w:val="2"/>
          <w:sz w:val="32"/>
          <w:szCs w:val="22"/>
        </w:rPr>
        <w:t>人员、</w:t>
      </w:r>
      <w:r>
        <w:rPr>
          <w:rFonts w:hint="eastAsia" w:ascii="仿宋" w:hAnsi="仿宋" w:eastAsia="仿宋" w:cs="仿宋_GB2312"/>
          <w:bCs/>
          <w:kern w:val="2"/>
          <w:sz w:val="32"/>
          <w:szCs w:val="22"/>
        </w:rPr>
        <w:t>技术</w:t>
      </w:r>
      <w:r>
        <w:rPr>
          <w:rFonts w:ascii="仿宋" w:hAnsi="仿宋" w:eastAsia="仿宋" w:cs="仿宋_GB2312"/>
          <w:bCs/>
          <w:kern w:val="2"/>
          <w:sz w:val="32"/>
          <w:szCs w:val="22"/>
        </w:rPr>
        <w:t>路线、研究基础</w:t>
      </w:r>
      <w:r>
        <w:rPr>
          <w:rFonts w:hint="eastAsia" w:ascii="仿宋" w:hAnsi="仿宋" w:eastAsia="仿宋" w:cs="仿宋_GB2312"/>
          <w:bCs/>
          <w:kern w:val="2"/>
          <w:sz w:val="32"/>
          <w:szCs w:val="22"/>
        </w:rPr>
        <w:t>等内容</w:t>
      </w:r>
      <w:r>
        <w:rPr>
          <w:rFonts w:ascii="仿宋" w:hAnsi="仿宋" w:eastAsia="仿宋" w:cs="仿宋_GB2312"/>
          <w:bCs/>
          <w:kern w:val="2"/>
          <w:sz w:val="32"/>
          <w:szCs w:val="22"/>
        </w:rPr>
        <w:t>；</w:t>
      </w:r>
    </w:p>
    <w:p>
      <w:pPr>
        <w:pStyle w:val="12"/>
        <w:adjustRightInd w:val="0"/>
        <w:snapToGrid w:val="0"/>
        <w:spacing w:before="0" w:beforeAutospacing="0" w:after="0" w:afterAutospacing="0" w:line="360" w:lineRule="auto"/>
        <w:ind w:firstLine="640" w:firstLineChars="200"/>
        <w:jc w:val="both"/>
        <w:rPr>
          <w:rFonts w:ascii="仿宋" w:hAnsi="仿宋" w:eastAsia="仿宋" w:cs="仿宋_GB2312"/>
          <w:bCs/>
          <w:kern w:val="2"/>
          <w:sz w:val="32"/>
          <w:szCs w:val="22"/>
        </w:rPr>
      </w:pPr>
      <w:r>
        <w:rPr>
          <w:rFonts w:hint="eastAsia" w:ascii="仿宋" w:hAnsi="仿宋" w:eastAsia="仿宋" w:cs="仿宋_GB2312"/>
          <w:bCs/>
          <w:kern w:val="2"/>
          <w:sz w:val="32"/>
          <w:szCs w:val="22"/>
        </w:rPr>
        <w:t>（三）具有风险</w:t>
      </w:r>
      <w:r>
        <w:rPr>
          <w:rFonts w:ascii="仿宋" w:hAnsi="仿宋" w:eastAsia="仿宋" w:cs="仿宋_GB2312"/>
          <w:bCs/>
          <w:kern w:val="2"/>
          <w:sz w:val="32"/>
          <w:szCs w:val="22"/>
        </w:rPr>
        <w:t>消减</w:t>
      </w:r>
      <w:r>
        <w:rPr>
          <w:rFonts w:hint="eastAsia" w:ascii="仿宋" w:hAnsi="仿宋" w:eastAsia="仿宋" w:cs="仿宋_GB2312"/>
          <w:bCs/>
          <w:kern w:val="2"/>
          <w:sz w:val="32"/>
          <w:szCs w:val="22"/>
        </w:rPr>
        <w:t>计划，包括可能存在的风险、具体消减措施</w:t>
      </w:r>
      <w:r>
        <w:rPr>
          <w:rFonts w:ascii="仿宋" w:hAnsi="仿宋" w:eastAsia="仿宋" w:cs="仿宋_GB2312"/>
          <w:bCs/>
          <w:kern w:val="2"/>
          <w:sz w:val="32"/>
          <w:szCs w:val="22"/>
        </w:rPr>
        <w:t>、</w:t>
      </w:r>
      <w:r>
        <w:rPr>
          <w:rFonts w:hint="eastAsia" w:ascii="仿宋" w:hAnsi="仿宋" w:eastAsia="仿宋" w:cs="仿宋_GB2312"/>
          <w:bCs/>
          <w:kern w:val="2"/>
          <w:sz w:val="32"/>
          <w:szCs w:val="22"/>
        </w:rPr>
        <w:t>支撑</w:t>
      </w:r>
      <w:r>
        <w:rPr>
          <w:rFonts w:ascii="仿宋" w:hAnsi="仿宋" w:eastAsia="仿宋" w:cs="仿宋_GB2312"/>
          <w:bCs/>
          <w:kern w:val="2"/>
          <w:sz w:val="32"/>
          <w:szCs w:val="22"/>
        </w:rPr>
        <w:t>保障条件等</w:t>
      </w:r>
      <w:r>
        <w:rPr>
          <w:rFonts w:hint="eastAsia" w:ascii="仿宋" w:hAnsi="仿宋" w:eastAsia="仿宋" w:cs="仿宋_GB2312"/>
          <w:bCs/>
          <w:kern w:val="2"/>
          <w:sz w:val="32"/>
          <w:szCs w:val="22"/>
        </w:rPr>
        <w:t>方面；</w:t>
      </w:r>
    </w:p>
    <w:p>
      <w:pPr>
        <w:pStyle w:val="12"/>
        <w:adjustRightInd w:val="0"/>
        <w:snapToGrid w:val="0"/>
        <w:spacing w:before="0" w:beforeAutospacing="0" w:after="0" w:afterAutospacing="0" w:line="360" w:lineRule="auto"/>
        <w:ind w:firstLine="640" w:firstLineChars="200"/>
        <w:jc w:val="both"/>
        <w:rPr>
          <w:rFonts w:ascii="仿宋" w:hAnsi="仿宋" w:eastAsia="仿宋" w:cs="仿宋_GB2312"/>
          <w:bCs/>
          <w:kern w:val="2"/>
          <w:sz w:val="32"/>
          <w:szCs w:val="22"/>
        </w:rPr>
      </w:pPr>
      <w:r>
        <w:rPr>
          <w:rFonts w:hint="eastAsia" w:ascii="仿宋" w:hAnsi="仿宋" w:eastAsia="仿宋" w:cs="仿宋_GB2312"/>
          <w:bCs/>
          <w:kern w:val="2"/>
          <w:sz w:val="32"/>
          <w:szCs w:val="22"/>
        </w:rPr>
        <w:t>（四）具有</w:t>
      </w:r>
      <w:r>
        <w:rPr>
          <w:rFonts w:hint="eastAsia" w:ascii="仿宋" w:hAnsi="仿宋" w:eastAsia="仿宋" w:cs="仿宋_GB2312"/>
          <w:sz w:val="32"/>
          <w:szCs w:val="32"/>
        </w:rPr>
        <w:t>安全事件</w:t>
      </w:r>
      <w:r>
        <w:rPr>
          <w:rFonts w:ascii="仿宋" w:hAnsi="仿宋" w:eastAsia="仿宋" w:cs="仿宋_GB2312"/>
          <w:bCs/>
          <w:kern w:val="2"/>
          <w:sz w:val="32"/>
          <w:szCs w:val="22"/>
        </w:rPr>
        <w:t>应急预案；</w:t>
      </w:r>
    </w:p>
    <w:p>
      <w:pPr>
        <w:pStyle w:val="12"/>
        <w:adjustRightInd w:val="0"/>
        <w:snapToGrid w:val="0"/>
        <w:spacing w:before="0" w:beforeAutospacing="0" w:after="0" w:afterAutospacing="0" w:line="360" w:lineRule="auto"/>
        <w:ind w:firstLine="640" w:firstLineChars="200"/>
        <w:jc w:val="both"/>
        <w:rPr>
          <w:rFonts w:ascii="仿宋" w:hAnsi="仿宋" w:eastAsia="仿宋" w:cs="仿宋_GB2312"/>
          <w:bCs/>
          <w:kern w:val="2"/>
          <w:sz w:val="32"/>
          <w:szCs w:val="22"/>
        </w:rPr>
      </w:pPr>
      <w:r>
        <w:rPr>
          <w:rFonts w:hint="eastAsia" w:ascii="仿宋" w:hAnsi="仿宋" w:eastAsia="仿宋" w:cs="仿宋_GB2312"/>
          <w:bCs/>
          <w:kern w:val="2"/>
          <w:sz w:val="32"/>
          <w:szCs w:val="22"/>
        </w:rPr>
        <w:t>（五）通过本单位风险评估；</w:t>
      </w:r>
    </w:p>
    <w:p>
      <w:pPr>
        <w:pStyle w:val="12"/>
        <w:widowControl w:val="0"/>
        <w:adjustRightInd w:val="0"/>
        <w:snapToGrid w:val="0"/>
        <w:spacing w:before="0" w:beforeAutospacing="0" w:after="0" w:afterAutospacing="0" w:line="360" w:lineRule="auto"/>
        <w:ind w:firstLine="640" w:firstLineChars="200"/>
        <w:jc w:val="both"/>
        <w:rPr>
          <w:rFonts w:ascii="仿宋" w:hAnsi="仿宋" w:eastAsia="仿宋" w:cs="仿宋_GB2312"/>
          <w:kern w:val="2"/>
          <w:sz w:val="32"/>
          <w:szCs w:val="32"/>
        </w:rPr>
      </w:pPr>
      <w:r>
        <w:rPr>
          <w:rFonts w:hint="eastAsia" w:ascii="仿宋" w:hAnsi="仿宋" w:eastAsia="仿宋" w:cs="仿宋_GB2312"/>
          <w:bCs/>
          <w:kern w:val="2"/>
          <w:sz w:val="32"/>
          <w:szCs w:val="22"/>
        </w:rPr>
        <w:t>（六）单位</w:t>
      </w:r>
      <w:r>
        <w:rPr>
          <w:rFonts w:ascii="仿宋" w:hAnsi="仿宋" w:eastAsia="仿宋" w:cs="仿宋_GB2312"/>
          <w:bCs/>
          <w:kern w:val="2"/>
          <w:sz w:val="32"/>
          <w:szCs w:val="22"/>
        </w:rPr>
        <w:t>设有生物技术安全委员会</w:t>
      </w:r>
      <w:r>
        <w:rPr>
          <w:rFonts w:hint="eastAsia" w:ascii="仿宋" w:hAnsi="仿宋" w:eastAsia="仿宋" w:cs="仿宋_GB2312"/>
          <w:bCs/>
          <w:kern w:val="2"/>
          <w:sz w:val="32"/>
          <w:szCs w:val="22"/>
        </w:rPr>
        <w:t>；</w:t>
      </w:r>
    </w:p>
    <w:p>
      <w:pPr>
        <w:pStyle w:val="12"/>
        <w:widowControl w:val="0"/>
        <w:adjustRightInd w:val="0"/>
        <w:snapToGrid w:val="0"/>
        <w:spacing w:before="0" w:beforeAutospacing="0" w:after="0" w:afterAutospacing="0" w:line="360" w:lineRule="auto"/>
        <w:ind w:firstLine="640" w:firstLineChars="200"/>
        <w:jc w:val="both"/>
        <w:rPr>
          <w:rFonts w:ascii="仿宋" w:hAnsi="仿宋" w:eastAsia="仿宋" w:cs="仿宋_GB2312"/>
          <w:bCs/>
          <w:kern w:val="2"/>
          <w:sz w:val="32"/>
          <w:szCs w:val="22"/>
        </w:rPr>
      </w:pPr>
      <w:r>
        <w:rPr>
          <w:rFonts w:hint="eastAsia" w:ascii="仿宋" w:hAnsi="仿宋" w:eastAsia="仿宋" w:cs="仿宋_GB2312"/>
          <w:bCs/>
          <w:kern w:val="2"/>
          <w:sz w:val="32"/>
          <w:szCs w:val="22"/>
        </w:rPr>
        <w:t>（七）单位设有</w:t>
      </w:r>
      <w:r>
        <w:rPr>
          <w:rFonts w:ascii="仿宋" w:hAnsi="仿宋" w:eastAsia="仿宋" w:cs="仿宋_GB2312"/>
          <w:bCs/>
          <w:kern w:val="2"/>
          <w:sz w:val="32"/>
          <w:szCs w:val="22"/>
        </w:rPr>
        <w:t>专门负责生物技术研究开发安全管理工作的部门</w:t>
      </w:r>
      <w:r>
        <w:rPr>
          <w:rFonts w:hint="eastAsia" w:ascii="仿宋" w:hAnsi="仿宋" w:eastAsia="仿宋" w:cs="仿宋_GB2312"/>
          <w:bCs/>
          <w:kern w:val="2"/>
          <w:sz w:val="32"/>
          <w:szCs w:val="22"/>
        </w:rPr>
        <w:t>；</w:t>
      </w:r>
    </w:p>
    <w:p>
      <w:pPr>
        <w:pStyle w:val="12"/>
        <w:widowControl w:val="0"/>
        <w:adjustRightInd w:val="0"/>
        <w:snapToGrid w:val="0"/>
        <w:spacing w:before="0" w:beforeAutospacing="0" w:after="0" w:afterAutospacing="0" w:line="360" w:lineRule="auto"/>
        <w:ind w:firstLine="640" w:firstLineChars="200"/>
        <w:jc w:val="both"/>
        <w:rPr>
          <w:rFonts w:ascii="仿宋" w:hAnsi="仿宋" w:eastAsia="仿宋" w:cs="仿宋_GB2312"/>
          <w:bCs/>
          <w:kern w:val="2"/>
          <w:sz w:val="32"/>
          <w:szCs w:val="22"/>
        </w:rPr>
      </w:pPr>
      <w:r>
        <w:rPr>
          <w:rFonts w:hint="eastAsia" w:ascii="仿宋" w:hAnsi="仿宋" w:eastAsia="仿宋" w:cs="仿宋_GB2312"/>
          <w:bCs/>
          <w:kern w:val="2"/>
          <w:sz w:val="32"/>
          <w:szCs w:val="22"/>
        </w:rPr>
        <w:t>（八）单位</w:t>
      </w:r>
      <w:r>
        <w:rPr>
          <w:rFonts w:ascii="仿宋" w:hAnsi="仿宋" w:eastAsia="仿宋" w:cs="仿宋_GB2312"/>
          <w:bCs/>
          <w:kern w:val="2"/>
          <w:sz w:val="32"/>
          <w:szCs w:val="22"/>
        </w:rPr>
        <w:t>具有生物技术研究开发活动安全管理制度</w:t>
      </w:r>
      <w:r>
        <w:rPr>
          <w:rFonts w:hint="eastAsia" w:ascii="仿宋" w:hAnsi="仿宋" w:eastAsia="仿宋" w:cs="仿宋_GB2312"/>
          <w:bCs/>
          <w:kern w:val="2"/>
          <w:sz w:val="32"/>
          <w:szCs w:val="22"/>
        </w:rPr>
        <w:t>，以及符合安全管理要求的场所、设施、设备和人员；</w:t>
      </w:r>
    </w:p>
    <w:p>
      <w:pPr>
        <w:pStyle w:val="12"/>
        <w:adjustRightInd w:val="0"/>
        <w:snapToGrid w:val="0"/>
        <w:spacing w:before="0" w:beforeAutospacing="0" w:after="0" w:afterAutospacing="0" w:line="360" w:lineRule="auto"/>
        <w:ind w:firstLine="640" w:firstLineChars="200"/>
        <w:jc w:val="both"/>
        <w:rPr>
          <w:rFonts w:ascii="仿宋" w:hAnsi="仿宋" w:eastAsia="仿宋" w:cs="仿宋_GB2312"/>
          <w:bCs/>
          <w:kern w:val="2"/>
          <w:sz w:val="32"/>
          <w:szCs w:val="22"/>
        </w:rPr>
      </w:pPr>
      <w:r>
        <w:rPr>
          <w:rFonts w:hint="eastAsia" w:ascii="仿宋" w:hAnsi="仿宋" w:eastAsia="仿宋" w:cs="仿宋_GB2312"/>
          <w:bCs/>
          <w:kern w:val="2"/>
          <w:sz w:val="32"/>
          <w:szCs w:val="22"/>
        </w:rPr>
        <w:t>（九）法律、法规</w:t>
      </w:r>
      <w:r>
        <w:rPr>
          <w:rFonts w:ascii="仿宋" w:hAnsi="仿宋" w:eastAsia="仿宋" w:cs="仿宋_GB2312"/>
          <w:bCs/>
          <w:kern w:val="2"/>
          <w:sz w:val="32"/>
          <w:szCs w:val="22"/>
        </w:rPr>
        <w:t>规定的</w:t>
      </w:r>
      <w:r>
        <w:rPr>
          <w:rFonts w:hint="eastAsia" w:ascii="仿宋" w:hAnsi="仿宋" w:eastAsia="仿宋" w:cs="仿宋_GB2312"/>
          <w:bCs/>
          <w:kern w:val="2"/>
          <w:sz w:val="32"/>
          <w:szCs w:val="22"/>
        </w:rPr>
        <w:t>其他条件</w:t>
      </w:r>
      <w:r>
        <w:rPr>
          <w:rFonts w:ascii="仿宋" w:hAnsi="仿宋" w:eastAsia="仿宋" w:cs="仿宋_GB2312"/>
          <w:bCs/>
          <w:kern w:val="2"/>
          <w:sz w:val="32"/>
          <w:szCs w:val="22"/>
        </w:rPr>
        <w:t>。</w:t>
      </w:r>
    </w:p>
    <w:p>
      <w:pPr>
        <w:pStyle w:val="12"/>
        <w:widowControl w:val="0"/>
        <w:adjustRightInd w:val="0"/>
        <w:snapToGrid w:val="0"/>
        <w:spacing w:before="0" w:beforeAutospacing="0" w:after="0" w:afterAutospacing="0" w:line="360" w:lineRule="auto"/>
        <w:ind w:firstLine="643" w:firstLineChars="200"/>
        <w:jc w:val="both"/>
        <w:rPr>
          <w:rFonts w:ascii="仿宋" w:hAnsi="仿宋" w:eastAsia="仿宋" w:cs="仿宋_GB2312"/>
          <w:kern w:val="2"/>
          <w:sz w:val="32"/>
          <w:szCs w:val="22"/>
        </w:rPr>
      </w:pPr>
      <w:bookmarkStart w:id="15" w:name="_Toc2841895"/>
      <w:r>
        <w:rPr>
          <w:rStyle w:val="29"/>
          <w:rFonts w:hint="eastAsia" w:ascii="仿宋" w:hAnsi="仿宋"/>
        </w:rPr>
        <w:t>第十四条</w:t>
      </w:r>
      <w:bookmarkEnd w:id="15"/>
      <w:r>
        <w:rPr>
          <w:rStyle w:val="29"/>
          <w:rFonts w:hint="eastAsia" w:ascii="仿宋" w:hAnsi="仿宋" w:eastAsia="仿宋"/>
          <w:lang w:val="en-US" w:eastAsia="zh-CN"/>
        </w:rPr>
        <w:t xml:space="preserve"> </w:t>
      </w:r>
      <w:r>
        <w:rPr>
          <w:rFonts w:hint="eastAsia" w:ascii="仿宋" w:hAnsi="仿宋" w:eastAsia="仿宋" w:cs="仿宋_GB2312"/>
          <w:kern w:val="2"/>
          <w:sz w:val="32"/>
          <w:szCs w:val="22"/>
        </w:rPr>
        <w:t>单位生物技术安全委员会协助对生物技术研究开发活动进行风险评估，协助制定风险消减计划；对已批准开展的研究活动进行定期跟踪检查；对风险级别发生变化的研究开发活动及时协助开展风险评估并协助制定新的风险消减计划；协助制定相关管理制度和操作规范，协助开展相关的培训和处置等工作。</w:t>
      </w:r>
    </w:p>
    <w:p>
      <w:pPr>
        <w:pStyle w:val="12"/>
        <w:adjustRightInd w:val="0"/>
        <w:snapToGrid w:val="0"/>
        <w:spacing w:before="0" w:beforeAutospacing="0" w:after="0" w:afterAutospacing="0" w:line="360" w:lineRule="auto"/>
        <w:ind w:firstLine="640" w:firstLineChars="200"/>
        <w:jc w:val="both"/>
        <w:rPr>
          <w:rFonts w:ascii="仿宋" w:hAnsi="仿宋" w:eastAsia="仿宋" w:cs="仿宋_GB2312"/>
          <w:bCs/>
          <w:kern w:val="2"/>
          <w:sz w:val="32"/>
          <w:szCs w:val="22"/>
        </w:rPr>
      </w:pPr>
      <w:r>
        <w:rPr>
          <w:rFonts w:hint="eastAsia" w:ascii="仿宋" w:hAnsi="仿宋" w:eastAsia="仿宋" w:cs="仿宋_GB2312"/>
          <w:kern w:val="2"/>
          <w:sz w:val="32"/>
          <w:szCs w:val="22"/>
        </w:rPr>
        <w:t>单位应在委员会设立之日起30日内，报省、自治区、直辖市人民政府科学技术行政部门备案。</w:t>
      </w:r>
    </w:p>
    <w:p>
      <w:pPr>
        <w:pStyle w:val="12"/>
        <w:widowControl w:val="0"/>
        <w:adjustRightInd w:val="0"/>
        <w:snapToGrid w:val="0"/>
        <w:spacing w:before="0" w:beforeAutospacing="0" w:after="0" w:afterAutospacing="0" w:line="360" w:lineRule="auto"/>
        <w:ind w:firstLine="643" w:firstLineChars="200"/>
        <w:jc w:val="both"/>
        <w:rPr>
          <w:rFonts w:ascii="仿宋" w:hAnsi="仿宋" w:eastAsia="仿宋" w:cs="仿宋_GB2312"/>
          <w:bCs/>
          <w:kern w:val="2"/>
          <w:sz w:val="32"/>
          <w:szCs w:val="22"/>
        </w:rPr>
      </w:pPr>
      <w:bookmarkStart w:id="16" w:name="_Toc2841896"/>
      <w:r>
        <w:rPr>
          <w:rStyle w:val="29"/>
          <w:rFonts w:hint="eastAsia" w:ascii="仿宋" w:hAnsi="仿宋"/>
        </w:rPr>
        <w:t>第十五条</w:t>
      </w:r>
      <w:bookmarkEnd w:id="16"/>
      <w:r>
        <w:rPr>
          <w:rStyle w:val="29"/>
          <w:rFonts w:hint="eastAsia" w:ascii="仿宋" w:hAnsi="仿宋" w:eastAsia="仿宋"/>
          <w:lang w:val="en-US" w:eastAsia="zh-CN"/>
        </w:rPr>
        <w:t xml:space="preserve"> </w:t>
      </w:r>
      <w:r>
        <w:rPr>
          <w:rStyle w:val="28"/>
          <w:rFonts w:hint="eastAsia" w:ascii="仿宋" w:hAnsi="仿宋" w:cs="仿宋_GB2312"/>
          <w:b w:val="0"/>
          <w:bCs w:val="0"/>
        </w:rPr>
        <w:t>省、自治区、直辖市人民政府科学技术行政部门应设立</w:t>
      </w:r>
      <w:r>
        <w:rPr>
          <w:rStyle w:val="28"/>
          <w:rFonts w:ascii="仿宋" w:hAnsi="仿宋" w:cs="仿宋_GB2312"/>
          <w:b w:val="0"/>
          <w:bCs w:val="0"/>
        </w:rPr>
        <w:t>专门机构负责具体</w:t>
      </w:r>
      <w:r>
        <w:rPr>
          <w:rStyle w:val="28"/>
          <w:rFonts w:hint="eastAsia" w:ascii="仿宋" w:hAnsi="仿宋" w:cs="仿宋_GB2312"/>
          <w:b w:val="0"/>
          <w:bCs w:val="0"/>
        </w:rPr>
        <w:t>审批</w:t>
      </w:r>
      <w:r>
        <w:rPr>
          <w:rStyle w:val="28"/>
          <w:rFonts w:ascii="仿宋" w:hAnsi="仿宋" w:cs="仿宋_GB2312"/>
          <w:b w:val="0"/>
          <w:bCs w:val="0"/>
        </w:rPr>
        <w:t>工作</w:t>
      </w:r>
      <w:r>
        <w:rPr>
          <w:rStyle w:val="28"/>
          <w:rFonts w:hint="eastAsia" w:ascii="仿宋" w:hAnsi="仿宋" w:cs="仿宋_GB2312"/>
          <w:b w:val="0"/>
          <w:bCs w:val="0"/>
        </w:rPr>
        <w:t>；聘请相关专家组成生物技术安全委员会，对</w:t>
      </w:r>
      <w:r>
        <w:rPr>
          <w:rFonts w:hint="eastAsia" w:ascii="仿宋" w:hAnsi="仿宋" w:eastAsia="仿宋" w:cs="仿宋_GB2312"/>
          <w:bCs/>
          <w:kern w:val="2"/>
          <w:sz w:val="32"/>
          <w:szCs w:val="22"/>
        </w:rPr>
        <w:t>高风险生物技术研究开发活动申请进行技术评审，评审意见作为</w:t>
      </w:r>
      <w:r>
        <w:rPr>
          <w:rStyle w:val="28"/>
          <w:rFonts w:hint="eastAsia" w:ascii="仿宋" w:hAnsi="仿宋" w:cs="仿宋_GB2312"/>
          <w:b w:val="0"/>
          <w:bCs w:val="0"/>
        </w:rPr>
        <w:t>省、自治区、直辖市人民政府科学技术行政部门作出审批决定的参考依据。</w:t>
      </w:r>
    </w:p>
    <w:p>
      <w:pPr>
        <w:pStyle w:val="12"/>
        <w:widowControl w:val="0"/>
        <w:adjustRightInd w:val="0"/>
        <w:snapToGrid w:val="0"/>
        <w:spacing w:before="0" w:beforeAutospacing="0" w:after="0" w:afterAutospacing="0" w:line="360" w:lineRule="auto"/>
        <w:ind w:firstLine="643" w:firstLineChars="200"/>
        <w:jc w:val="both"/>
        <w:rPr>
          <w:rFonts w:ascii="仿宋" w:hAnsi="仿宋" w:eastAsia="仿宋" w:cs="仿宋_GB2312"/>
          <w:sz w:val="32"/>
          <w:szCs w:val="32"/>
        </w:rPr>
      </w:pPr>
      <w:bookmarkStart w:id="17" w:name="_Toc535921828"/>
      <w:bookmarkStart w:id="18" w:name="_Toc2841897"/>
      <w:r>
        <w:rPr>
          <w:rStyle w:val="29"/>
          <w:rFonts w:hint="eastAsia" w:ascii="仿宋" w:hAnsi="仿宋"/>
        </w:rPr>
        <w:t>第十六条</w:t>
      </w:r>
      <w:bookmarkEnd w:id="17"/>
      <w:bookmarkEnd w:id="18"/>
      <w:r>
        <w:rPr>
          <w:rStyle w:val="29"/>
          <w:rFonts w:hint="eastAsia" w:ascii="仿宋" w:hAnsi="仿宋" w:eastAsia="仿宋"/>
          <w:lang w:val="en-US" w:eastAsia="zh-CN"/>
        </w:rPr>
        <w:t xml:space="preserve"> </w:t>
      </w:r>
      <w:r>
        <w:rPr>
          <w:rStyle w:val="28"/>
          <w:rFonts w:hint="eastAsia" w:ascii="仿宋" w:hAnsi="仿宋" w:cs="仿宋_GB2312"/>
          <w:b w:val="0"/>
          <w:bCs w:val="0"/>
        </w:rPr>
        <w:t>省、自治区、直辖市人民政府科学技术行政部门</w:t>
      </w:r>
      <w:r>
        <w:rPr>
          <w:rFonts w:hint="eastAsia" w:ascii="仿宋" w:hAnsi="仿宋" w:eastAsia="仿宋" w:cs="仿宋_GB2312"/>
          <w:sz w:val="32"/>
          <w:szCs w:val="32"/>
        </w:rPr>
        <w:t>应自受理申请之日</w:t>
      </w:r>
      <w:r>
        <w:rPr>
          <w:rFonts w:ascii="仿宋" w:hAnsi="仿宋" w:eastAsia="仿宋" w:cs="仿宋_GB2312"/>
          <w:sz w:val="32"/>
          <w:szCs w:val="32"/>
        </w:rPr>
        <w:t>起20</w:t>
      </w:r>
      <w:r>
        <w:rPr>
          <w:rFonts w:hint="eastAsia" w:ascii="仿宋" w:hAnsi="仿宋" w:eastAsia="仿宋" w:cs="仿宋_GB2312"/>
          <w:sz w:val="32"/>
          <w:szCs w:val="32"/>
        </w:rPr>
        <w:t>个</w:t>
      </w:r>
      <w:r>
        <w:rPr>
          <w:rFonts w:ascii="仿宋" w:hAnsi="仿宋" w:eastAsia="仿宋" w:cs="仿宋_GB2312"/>
          <w:sz w:val="32"/>
          <w:szCs w:val="32"/>
        </w:rPr>
        <w:t>工作日内</w:t>
      </w:r>
      <w:r>
        <w:rPr>
          <w:rFonts w:hint="eastAsia" w:ascii="仿宋" w:hAnsi="仿宋" w:eastAsia="仿宋" w:cs="仿宋_GB2312"/>
          <w:sz w:val="32"/>
          <w:szCs w:val="32"/>
        </w:rPr>
        <w:t>（技术评审时间不计在内），</w:t>
      </w:r>
      <w:r>
        <w:rPr>
          <w:rFonts w:ascii="仿宋" w:hAnsi="仿宋" w:eastAsia="仿宋" w:cs="仿宋_GB2312"/>
          <w:sz w:val="32"/>
          <w:szCs w:val="32"/>
        </w:rPr>
        <w:t>作出批准或者不予批准的决定；不予批准的，应说明理由。</w:t>
      </w:r>
      <w:r>
        <w:rPr>
          <w:rFonts w:hint="eastAsia" w:ascii="仿宋" w:hAnsi="仿宋" w:eastAsia="仿宋" w:cs="仿宋_GB2312"/>
          <w:sz w:val="32"/>
          <w:szCs w:val="32"/>
        </w:rPr>
        <w:t>因</w:t>
      </w:r>
      <w:r>
        <w:rPr>
          <w:rFonts w:ascii="仿宋" w:hAnsi="仿宋" w:eastAsia="仿宋" w:cs="仿宋_GB2312"/>
          <w:sz w:val="32"/>
          <w:szCs w:val="32"/>
        </w:rPr>
        <w:t>特殊原因无法</w:t>
      </w:r>
      <w:r>
        <w:rPr>
          <w:rFonts w:hint="eastAsia" w:ascii="仿宋" w:hAnsi="仿宋" w:eastAsia="仿宋" w:cs="仿宋_GB2312"/>
          <w:sz w:val="32"/>
          <w:szCs w:val="32"/>
        </w:rPr>
        <w:t>在</w:t>
      </w:r>
      <w:r>
        <w:rPr>
          <w:rFonts w:ascii="仿宋" w:hAnsi="仿宋" w:eastAsia="仿宋" w:cs="仿宋_GB2312"/>
          <w:sz w:val="32"/>
          <w:szCs w:val="32"/>
        </w:rPr>
        <w:t>规定</w:t>
      </w:r>
      <w:r>
        <w:rPr>
          <w:rFonts w:hint="eastAsia" w:ascii="仿宋" w:hAnsi="仿宋" w:eastAsia="仿宋" w:cs="仿宋_GB2312"/>
          <w:sz w:val="32"/>
          <w:szCs w:val="32"/>
        </w:rPr>
        <w:t>期限</w:t>
      </w:r>
      <w:r>
        <w:rPr>
          <w:rFonts w:ascii="仿宋" w:hAnsi="仿宋" w:eastAsia="仿宋" w:cs="仿宋_GB2312"/>
          <w:sz w:val="32"/>
          <w:szCs w:val="32"/>
        </w:rPr>
        <w:t>内作出</w:t>
      </w:r>
      <w:r>
        <w:rPr>
          <w:rFonts w:hint="eastAsia" w:ascii="仿宋" w:hAnsi="仿宋" w:eastAsia="仿宋" w:cs="仿宋_GB2312"/>
          <w:sz w:val="32"/>
          <w:szCs w:val="32"/>
        </w:rPr>
        <w:t>决定</w:t>
      </w:r>
      <w:r>
        <w:rPr>
          <w:rFonts w:ascii="仿宋" w:hAnsi="仿宋" w:eastAsia="仿宋" w:cs="仿宋_GB2312"/>
          <w:sz w:val="32"/>
          <w:szCs w:val="32"/>
        </w:rPr>
        <w:t>的，经</w:t>
      </w:r>
      <w:r>
        <w:rPr>
          <w:rStyle w:val="28"/>
          <w:rFonts w:hint="eastAsia" w:ascii="仿宋" w:hAnsi="仿宋" w:cs="仿宋_GB2312"/>
          <w:b w:val="0"/>
          <w:bCs w:val="0"/>
        </w:rPr>
        <w:t>省、自治区、直辖市人民政府</w:t>
      </w:r>
      <w:r>
        <w:rPr>
          <w:rFonts w:hint="eastAsia" w:ascii="仿宋" w:hAnsi="仿宋" w:eastAsia="仿宋" w:cs="仿宋_GB2312"/>
          <w:sz w:val="32"/>
          <w:szCs w:val="32"/>
        </w:rPr>
        <w:t>科学</w:t>
      </w:r>
      <w:r>
        <w:rPr>
          <w:rFonts w:ascii="仿宋" w:hAnsi="仿宋" w:eastAsia="仿宋" w:cs="仿宋_GB2312"/>
          <w:sz w:val="32"/>
          <w:szCs w:val="32"/>
        </w:rPr>
        <w:t>技术行政部门负责人批准，可以延长</w:t>
      </w:r>
      <w:r>
        <w:rPr>
          <w:rFonts w:hint="eastAsia" w:ascii="仿宋" w:hAnsi="仿宋" w:eastAsia="仿宋" w:cs="仿宋_GB2312"/>
          <w:sz w:val="32"/>
          <w:szCs w:val="32"/>
        </w:rPr>
        <w:t>10个</w:t>
      </w:r>
      <w:r>
        <w:rPr>
          <w:rFonts w:ascii="仿宋" w:hAnsi="仿宋" w:eastAsia="仿宋" w:cs="仿宋_GB2312"/>
          <w:sz w:val="32"/>
          <w:szCs w:val="32"/>
        </w:rPr>
        <w:t>工作日。</w:t>
      </w:r>
    </w:p>
    <w:p>
      <w:pPr>
        <w:pStyle w:val="12"/>
        <w:adjustRightInd w:val="0"/>
        <w:snapToGrid w:val="0"/>
        <w:spacing w:before="0" w:beforeAutospacing="0" w:after="0" w:afterAutospacing="0" w:line="360" w:lineRule="auto"/>
        <w:ind w:firstLine="643" w:firstLineChars="200"/>
        <w:jc w:val="both"/>
        <w:rPr>
          <w:rFonts w:ascii="仿宋" w:hAnsi="仿宋" w:eastAsia="仿宋" w:cs="仿宋_GB2312"/>
          <w:bCs/>
          <w:kern w:val="2"/>
          <w:sz w:val="32"/>
          <w:szCs w:val="22"/>
        </w:rPr>
      </w:pPr>
      <w:bookmarkStart w:id="19" w:name="_Toc2841898"/>
      <w:r>
        <w:rPr>
          <w:rStyle w:val="29"/>
          <w:rFonts w:hint="eastAsia" w:ascii="仿宋" w:hAnsi="仿宋"/>
        </w:rPr>
        <w:t>第十七条</w:t>
      </w:r>
      <w:bookmarkEnd w:id="19"/>
      <w:r>
        <w:rPr>
          <w:rStyle w:val="29"/>
          <w:rFonts w:hint="eastAsia" w:ascii="仿宋" w:hAnsi="仿宋" w:eastAsia="仿宋"/>
          <w:lang w:val="en-US" w:eastAsia="zh-CN"/>
        </w:rPr>
        <w:t xml:space="preserve"> </w:t>
      </w:r>
      <w:r>
        <w:rPr>
          <w:rFonts w:hint="eastAsia" w:ascii="仿宋" w:hAnsi="仿宋" w:eastAsia="仿宋" w:cs="仿宋_GB2312"/>
          <w:bCs/>
          <w:kern w:val="2"/>
          <w:sz w:val="32"/>
          <w:szCs w:val="22"/>
        </w:rPr>
        <w:t>开展一般风险生物技术研究开发活动</w:t>
      </w:r>
      <w:r>
        <w:rPr>
          <w:rFonts w:ascii="仿宋" w:hAnsi="仿宋" w:eastAsia="仿宋" w:cs="仿宋_GB2312"/>
          <w:bCs/>
          <w:kern w:val="2"/>
          <w:sz w:val="32"/>
          <w:szCs w:val="22"/>
        </w:rPr>
        <w:t>应</w:t>
      </w:r>
      <w:r>
        <w:rPr>
          <w:rFonts w:hint="eastAsia" w:ascii="仿宋" w:hAnsi="仿宋" w:eastAsia="仿宋" w:cs="仿宋_GB2312"/>
          <w:bCs/>
          <w:kern w:val="2"/>
          <w:sz w:val="32"/>
          <w:szCs w:val="22"/>
        </w:rPr>
        <w:t>由</w:t>
      </w:r>
      <w:r>
        <w:rPr>
          <w:rFonts w:ascii="仿宋" w:hAnsi="仿宋" w:eastAsia="仿宋" w:cs="仿宋_GB2312"/>
          <w:bCs/>
          <w:kern w:val="2"/>
          <w:sz w:val="32"/>
          <w:szCs w:val="22"/>
        </w:rPr>
        <w:t>在中华人民共和国境内注册</w:t>
      </w:r>
      <w:r>
        <w:rPr>
          <w:rFonts w:hint="eastAsia" w:ascii="仿宋" w:hAnsi="仿宋" w:eastAsia="仿宋" w:cs="仿宋_GB2312"/>
          <w:bCs/>
          <w:kern w:val="2"/>
          <w:sz w:val="32"/>
          <w:szCs w:val="22"/>
        </w:rPr>
        <w:t>的</w:t>
      </w:r>
      <w:r>
        <w:rPr>
          <w:rFonts w:ascii="仿宋" w:hAnsi="仿宋" w:eastAsia="仿宋" w:cs="仿宋_GB2312"/>
          <w:bCs/>
          <w:kern w:val="2"/>
          <w:sz w:val="32"/>
          <w:szCs w:val="22"/>
        </w:rPr>
        <w:t>法人</w:t>
      </w:r>
      <w:r>
        <w:rPr>
          <w:rFonts w:hint="eastAsia" w:ascii="仿宋" w:hAnsi="仿宋" w:eastAsia="仿宋" w:cs="仿宋_GB2312"/>
          <w:bCs/>
          <w:kern w:val="2"/>
          <w:sz w:val="32"/>
          <w:szCs w:val="22"/>
        </w:rPr>
        <w:t>单位实施，并通过风险评估。风险评估可由本单位组织或通过委托等方式开展</w:t>
      </w:r>
      <w:r>
        <w:rPr>
          <w:rFonts w:ascii="仿宋" w:hAnsi="仿宋" w:eastAsia="仿宋" w:cs="仿宋_GB2312"/>
          <w:bCs/>
          <w:kern w:val="2"/>
          <w:sz w:val="32"/>
          <w:szCs w:val="22"/>
        </w:rPr>
        <w:t>。</w:t>
      </w:r>
    </w:p>
    <w:p>
      <w:pPr>
        <w:pStyle w:val="12"/>
        <w:widowControl w:val="0"/>
        <w:adjustRightInd w:val="0"/>
        <w:snapToGrid w:val="0"/>
        <w:spacing w:before="0" w:beforeAutospacing="0" w:after="0" w:afterAutospacing="0" w:line="360" w:lineRule="auto"/>
        <w:ind w:firstLine="643" w:firstLineChars="200"/>
        <w:jc w:val="both"/>
        <w:rPr>
          <w:rStyle w:val="28"/>
          <w:rFonts w:ascii="仿宋" w:hAnsi="仿宋" w:cs="仿宋_GB2312"/>
          <w:b w:val="0"/>
          <w:bCs w:val="0"/>
        </w:rPr>
      </w:pPr>
      <w:bookmarkStart w:id="20" w:name="_Toc2841899"/>
      <w:r>
        <w:rPr>
          <w:rStyle w:val="29"/>
          <w:rFonts w:hint="eastAsia" w:ascii="仿宋" w:hAnsi="仿宋"/>
        </w:rPr>
        <w:t>第十八条</w:t>
      </w:r>
      <w:bookmarkEnd w:id="20"/>
      <w:r>
        <w:rPr>
          <w:rStyle w:val="29"/>
          <w:rFonts w:hint="eastAsia" w:ascii="仿宋" w:hAnsi="仿宋" w:eastAsia="仿宋"/>
          <w:lang w:val="en-US" w:eastAsia="zh-CN"/>
        </w:rPr>
        <w:t xml:space="preserve"> </w:t>
      </w:r>
      <w:r>
        <w:rPr>
          <w:rFonts w:hint="eastAsia" w:ascii="仿宋" w:hAnsi="仿宋" w:eastAsia="仿宋" w:cs="仿宋_GB2312"/>
          <w:kern w:val="2"/>
          <w:sz w:val="32"/>
          <w:szCs w:val="32"/>
        </w:rPr>
        <w:t>不在</w:t>
      </w:r>
      <w:r>
        <w:rPr>
          <w:rFonts w:ascii="仿宋" w:hAnsi="仿宋" w:eastAsia="仿宋" w:cs="仿宋_GB2312"/>
          <w:kern w:val="2"/>
          <w:sz w:val="32"/>
          <w:szCs w:val="32"/>
        </w:rPr>
        <w:t>清单内的</w:t>
      </w:r>
      <w:r>
        <w:rPr>
          <w:rFonts w:hint="eastAsia" w:ascii="仿宋" w:hAnsi="仿宋" w:eastAsia="仿宋" w:cs="仿宋_GB2312"/>
          <w:kern w:val="2"/>
          <w:sz w:val="32"/>
          <w:szCs w:val="32"/>
        </w:rPr>
        <w:t>生物</w:t>
      </w:r>
      <w:r>
        <w:rPr>
          <w:rFonts w:ascii="仿宋" w:hAnsi="仿宋" w:eastAsia="仿宋" w:cs="仿宋_GB2312"/>
          <w:kern w:val="2"/>
          <w:sz w:val="32"/>
          <w:szCs w:val="32"/>
        </w:rPr>
        <w:t>技术研究开发活动</w:t>
      </w:r>
      <w:r>
        <w:rPr>
          <w:rFonts w:hint="eastAsia" w:ascii="仿宋" w:hAnsi="仿宋" w:eastAsia="仿宋" w:cs="仿宋_GB2312"/>
          <w:kern w:val="2"/>
          <w:sz w:val="32"/>
          <w:szCs w:val="32"/>
        </w:rPr>
        <w:t>，单位应依照本条例</w:t>
      </w:r>
      <w:r>
        <w:rPr>
          <w:rFonts w:ascii="仿宋" w:hAnsi="仿宋" w:eastAsia="仿宋" w:cs="仿宋_GB2312"/>
          <w:kern w:val="2"/>
          <w:sz w:val="32"/>
          <w:szCs w:val="32"/>
        </w:rPr>
        <w:t>对</w:t>
      </w:r>
      <w:r>
        <w:rPr>
          <w:rFonts w:hint="eastAsia" w:ascii="仿宋" w:hAnsi="仿宋" w:eastAsia="仿宋" w:cs="仿宋_GB2312"/>
          <w:kern w:val="2"/>
          <w:sz w:val="32"/>
          <w:szCs w:val="32"/>
        </w:rPr>
        <w:t>风险</w:t>
      </w:r>
      <w:r>
        <w:rPr>
          <w:rFonts w:ascii="仿宋" w:hAnsi="仿宋" w:eastAsia="仿宋" w:cs="仿宋_GB2312"/>
          <w:kern w:val="2"/>
          <w:sz w:val="32"/>
          <w:szCs w:val="32"/>
        </w:rPr>
        <w:t>的界定</w:t>
      </w:r>
      <w:r>
        <w:rPr>
          <w:rFonts w:hint="eastAsia" w:ascii="仿宋" w:hAnsi="仿宋" w:eastAsia="仿宋" w:cs="仿宋_GB2312"/>
          <w:kern w:val="2"/>
          <w:sz w:val="32"/>
          <w:szCs w:val="32"/>
        </w:rPr>
        <w:t>标准科学</w:t>
      </w:r>
      <w:r>
        <w:rPr>
          <w:rFonts w:ascii="仿宋" w:hAnsi="仿宋" w:eastAsia="仿宋" w:cs="仿宋_GB2312"/>
          <w:kern w:val="2"/>
          <w:sz w:val="32"/>
          <w:szCs w:val="32"/>
        </w:rPr>
        <w:t>判断</w:t>
      </w:r>
      <w:r>
        <w:rPr>
          <w:rFonts w:hint="eastAsia" w:ascii="仿宋" w:hAnsi="仿宋" w:eastAsia="仿宋" w:cs="仿宋_GB2312"/>
          <w:kern w:val="2"/>
          <w:sz w:val="32"/>
          <w:szCs w:val="32"/>
        </w:rPr>
        <w:t>风险级</w:t>
      </w:r>
      <w:r>
        <w:rPr>
          <w:rFonts w:ascii="仿宋" w:hAnsi="仿宋" w:eastAsia="仿宋" w:cs="仿宋_GB2312"/>
          <w:kern w:val="2"/>
          <w:sz w:val="32"/>
          <w:szCs w:val="32"/>
        </w:rPr>
        <w:t>别</w:t>
      </w:r>
      <w:r>
        <w:rPr>
          <w:rFonts w:hint="eastAsia" w:ascii="仿宋" w:hAnsi="仿宋" w:eastAsia="仿宋" w:cs="仿宋_GB2312"/>
          <w:kern w:val="2"/>
          <w:sz w:val="32"/>
          <w:szCs w:val="32"/>
        </w:rPr>
        <w:t>；对于可能</w:t>
      </w:r>
      <w:r>
        <w:rPr>
          <w:rFonts w:ascii="仿宋" w:hAnsi="仿宋" w:eastAsia="仿宋" w:cs="仿宋_GB2312"/>
          <w:kern w:val="2"/>
          <w:sz w:val="32"/>
          <w:szCs w:val="32"/>
        </w:rPr>
        <w:t>具有</w:t>
      </w:r>
      <w:r>
        <w:rPr>
          <w:rFonts w:hint="eastAsia" w:ascii="仿宋" w:hAnsi="仿宋" w:eastAsia="仿宋" w:cs="仿宋_GB2312"/>
          <w:kern w:val="2"/>
          <w:sz w:val="32"/>
          <w:szCs w:val="32"/>
        </w:rPr>
        <w:t>一般</w:t>
      </w:r>
      <w:r>
        <w:rPr>
          <w:rFonts w:ascii="仿宋" w:hAnsi="仿宋" w:eastAsia="仿宋" w:cs="仿宋_GB2312"/>
          <w:kern w:val="2"/>
          <w:sz w:val="32"/>
          <w:szCs w:val="32"/>
        </w:rPr>
        <w:t>风险</w:t>
      </w:r>
      <w:r>
        <w:rPr>
          <w:rFonts w:hint="eastAsia" w:ascii="仿宋" w:hAnsi="仿宋" w:eastAsia="仿宋" w:cs="仿宋_GB2312"/>
          <w:kern w:val="2"/>
          <w:sz w:val="32"/>
          <w:szCs w:val="32"/>
        </w:rPr>
        <w:t>及</w:t>
      </w:r>
      <w:r>
        <w:rPr>
          <w:rFonts w:ascii="仿宋" w:hAnsi="仿宋" w:eastAsia="仿宋" w:cs="仿宋_GB2312"/>
          <w:kern w:val="2"/>
          <w:sz w:val="32"/>
          <w:szCs w:val="32"/>
        </w:rPr>
        <w:t>以上</w:t>
      </w:r>
      <w:r>
        <w:rPr>
          <w:rFonts w:hint="eastAsia" w:ascii="仿宋" w:hAnsi="仿宋" w:eastAsia="仿宋" w:cs="仿宋_GB2312"/>
          <w:kern w:val="2"/>
          <w:sz w:val="32"/>
          <w:szCs w:val="32"/>
        </w:rPr>
        <w:t>等级的研究开发活动</w:t>
      </w:r>
      <w:r>
        <w:rPr>
          <w:rFonts w:ascii="仿宋" w:hAnsi="仿宋" w:eastAsia="仿宋" w:cs="仿宋_GB2312"/>
          <w:kern w:val="2"/>
          <w:sz w:val="32"/>
          <w:szCs w:val="32"/>
        </w:rPr>
        <w:t>，应</w:t>
      </w:r>
      <w:r>
        <w:rPr>
          <w:rFonts w:hint="eastAsia" w:ascii="仿宋" w:hAnsi="仿宋" w:eastAsia="仿宋" w:cs="仿宋_GB2312"/>
          <w:kern w:val="2"/>
          <w:sz w:val="32"/>
          <w:szCs w:val="32"/>
        </w:rPr>
        <w:t>报</w:t>
      </w:r>
      <w:r>
        <w:rPr>
          <w:rStyle w:val="28"/>
          <w:rFonts w:hint="eastAsia" w:ascii="仿宋" w:hAnsi="仿宋" w:cs="仿宋_GB2312"/>
          <w:b w:val="0"/>
          <w:bCs w:val="0"/>
        </w:rPr>
        <w:t>省、自治区、直辖市人民政府科学技术行政部门判定。</w:t>
      </w:r>
    </w:p>
    <w:p>
      <w:pPr>
        <w:pStyle w:val="12"/>
        <w:widowControl w:val="0"/>
        <w:adjustRightInd w:val="0"/>
        <w:snapToGrid w:val="0"/>
        <w:spacing w:before="0" w:beforeAutospacing="0" w:after="0" w:afterAutospacing="0" w:line="360" w:lineRule="auto"/>
        <w:ind w:firstLine="640" w:firstLineChars="200"/>
        <w:jc w:val="both"/>
        <w:rPr>
          <w:rFonts w:ascii="仿宋" w:hAnsi="仿宋" w:eastAsia="仿宋" w:cs="仿宋_GB2312"/>
          <w:kern w:val="2"/>
          <w:sz w:val="32"/>
          <w:szCs w:val="32"/>
        </w:rPr>
      </w:pPr>
      <w:r>
        <w:rPr>
          <w:rStyle w:val="28"/>
          <w:rFonts w:hint="eastAsia" w:ascii="仿宋" w:hAnsi="仿宋" w:cs="仿宋_GB2312"/>
          <w:b w:val="0"/>
          <w:bCs w:val="0"/>
        </w:rPr>
        <w:t>省、自治区、直辖市人民政府科学技术行政部门</w:t>
      </w:r>
      <w:r>
        <w:rPr>
          <w:rStyle w:val="28"/>
          <w:rFonts w:ascii="仿宋" w:hAnsi="仿宋" w:cs="仿宋_GB2312"/>
          <w:b w:val="0"/>
          <w:bCs w:val="0"/>
        </w:rPr>
        <w:t>将</w:t>
      </w:r>
      <w:r>
        <w:rPr>
          <w:rStyle w:val="28"/>
          <w:rFonts w:hint="eastAsia" w:ascii="仿宋" w:hAnsi="仿宋" w:cs="仿宋_GB2312"/>
          <w:b w:val="0"/>
          <w:bCs w:val="0"/>
        </w:rPr>
        <w:t>一般风险及</w:t>
      </w:r>
      <w:r>
        <w:rPr>
          <w:rStyle w:val="28"/>
          <w:rFonts w:ascii="仿宋" w:hAnsi="仿宋" w:cs="仿宋_GB2312"/>
          <w:b w:val="0"/>
          <w:bCs w:val="0"/>
        </w:rPr>
        <w:t>以上</w:t>
      </w:r>
      <w:r>
        <w:rPr>
          <w:rFonts w:hint="eastAsia" w:ascii="仿宋" w:hAnsi="仿宋" w:eastAsia="仿宋" w:cs="仿宋_GB2312"/>
          <w:kern w:val="2"/>
          <w:sz w:val="32"/>
          <w:szCs w:val="32"/>
        </w:rPr>
        <w:t>等级</w:t>
      </w:r>
      <w:r>
        <w:rPr>
          <w:rStyle w:val="28"/>
          <w:rFonts w:hint="eastAsia" w:ascii="仿宋" w:hAnsi="仿宋" w:cs="仿宋_GB2312"/>
          <w:b w:val="0"/>
          <w:bCs w:val="0"/>
        </w:rPr>
        <w:t>的判定结果通知单位</w:t>
      </w:r>
      <w:r>
        <w:rPr>
          <w:rStyle w:val="28"/>
          <w:rFonts w:ascii="仿宋" w:hAnsi="仿宋" w:cs="仿宋_GB2312"/>
          <w:b w:val="0"/>
          <w:bCs w:val="0"/>
        </w:rPr>
        <w:t>并报</w:t>
      </w:r>
      <w:r>
        <w:rPr>
          <w:rStyle w:val="28"/>
          <w:rFonts w:hint="eastAsia" w:ascii="仿宋" w:hAnsi="仿宋" w:cs="仿宋_GB2312"/>
          <w:b w:val="0"/>
          <w:bCs w:val="0"/>
        </w:rPr>
        <w:t>告</w:t>
      </w:r>
      <w:r>
        <w:rPr>
          <w:rStyle w:val="28"/>
          <w:rFonts w:ascii="仿宋" w:hAnsi="仿宋" w:cs="仿宋_GB2312"/>
          <w:b w:val="0"/>
          <w:bCs w:val="0"/>
        </w:rPr>
        <w:t>国务院</w:t>
      </w:r>
      <w:r>
        <w:rPr>
          <w:rFonts w:ascii="仿宋" w:hAnsi="仿宋" w:eastAsia="仿宋" w:cs="仿宋_GB2312"/>
          <w:kern w:val="2"/>
          <w:sz w:val="32"/>
          <w:szCs w:val="32"/>
        </w:rPr>
        <w:t>科学技术行政部门。</w:t>
      </w:r>
    </w:p>
    <w:p>
      <w:pPr>
        <w:pStyle w:val="2"/>
        <w:keepNext w:val="0"/>
        <w:keepLines w:val="0"/>
        <w:adjustRightInd w:val="0"/>
        <w:snapToGrid w:val="0"/>
        <w:spacing w:before="312" w:beforeLines="100" w:after="312" w:afterLines="100" w:line="360" w:lineRule="auto"/>
        <w:jc w:val="center"/>
        <w:rPr>
          <w:rStyle w:val="29"/>
          <w:rFonts w:ascii="仿宋" w:hAnsi="仿宋"/>
          <w:b/>
          <w:bCs/>
        </w:rPr>
      </w:pPr>
      <w:bookmarkStart w:id="21" w:name="_Toc2841900"/>
      <w:r>
        <w:rPr>
          <w:rFonts w:hint="eastAsia" w:ascii="仿宋" w:hAnsi="仿宋"/>
        </w:rPr>
        <w:t>第三章　安全风险控制与处置</w:t>
      </w:r>
      <w:bookmarkEnd w:id="21"/>
    </w:p>
    <w:p>
      <w:pPr>
        <w:pStyle w:val="12"/>
        <w:widowControl w:val="0"/>
        <w:adjustRightInd w:val="0"/>
        <w:snapToGrid w:val="0"/>
        <w:spacing w:before="0" w:beforeAutospacing="0" w:after="0" w:afterAutospacing="0" w:line="360" w:lineRule="auto"/>
        <w:ind w:firstLine="643" w:firstLineChars="200"/>
        <w:jc w:val="both"/>
        <w:rPr>
          <w:rStyle w:val="29"/>
          <w:rFonts w:ascii="仿宋" w:hAnsi="仿宋"/>
        </w:rPr>
      </w:pPr>
      <w:bookmarkStart w:id="22" w:name="_Toc2841901"/>
      <w:r>
        <w:rPr>
          <w:rStyle w:val="29"/>
          <w:rFonts w:hint="eastAsia" w:ascii="仿宋" w:hAnsi="仿宋"/>
        </w:rPr>
        <w:t>第十九条</w:t>
      </w:r>
      <w:bookmarkEnd w:id="22"/>
      <w:r>
        <w:rPr>
          <w:rStyle w:val="29"/>
          <w:rFonts w:hint="eastAsia" w:ascii="仿宋" w:hAnsi="仿宋" w:eastAsia="仿宋"/>
          <w:lang w:val="en-US" w:eastAsia="zh-CN"/>
        </w:rPr>
        <w:t xml:space="preserve"> </w:t>
      </w:r>
      <w:r>
        <w:rPr>
          <w:rFonts w:hint="eastAsia" w:ascii="仿宋" w:hAnsi="仿宋" w:eastAsia="仿宋" w:cs="仿宋_GB2312"/>
          <w:sz w:val="32"/>
          <w:szCs w:val="32"/>
        </w:rPr>
        <w:t>国务院科学技术行政部门制定生物技术研究开发风险</w:t>
      </w:r>
      <w:r>
        <w:rPr>
          <w:rFonts w:ascii="仿宋" w:hAnsi="仿宋" w:eastAsia="仿宋" w:cs="仿宋_GB2312"/>
          <w:sz w:val="32"/>
          <w:szCs w:val="32"/>
        </w:rPr>
        <w:t>监测计划，建立监测</w:t>
      </w:r>
      <w:r>
        <w:rPr>
          <w:rFonts w:hint="eastAsia" w:ascii="仿宋" w:hAnsi="仿宋" w:eastAsia="仿宋" w:cs="仿宋_GB2312"/>
          <w:sz w:val="32"/>
          <w:szCs w:val="32"/>
        </w:rPr>
        <w:t>系统</w:t>
      </w:r>
      <w:r>
        <w:rPr>
          <w:rFonts w:ascii="仿宋" w:hAnsi="仿宋" w:eastAsia="仿宋" w:cs="仿宋_GB2312"/>
          <w:sz w:val="32"/>
          <w:szCs w:val="32"/>
        </w:rPr>
        <w:t>，</w:t>
      </w:r>
      <w:r>
        <w:rPr>
          <w:rFonts w:hint="eastAsia" w:ascii="仿宋" w:hAnsi="仿宋" w:eastAsia="仿宋" w:cs="仿宋_GB2312"/>
          <w:sz w:val="32"/>
          <w:szCs w:val="32"/>
        </w:rPr>
        <w:t>加强</w:t>
      </w:r>
      <w:r>
        <w:rPr>
          <w:rFonts w:ascii="仿宋" w:hAnsi="仿宋" w:eastAsia="仿宋" w:cs="仿宋_GB2312"/>
          <w:sz w:val="32"/>
          <w:szCs w:val="32"/>
        </w:rPr>
        <w:t>技术</w:t>
      </w:r>
      <w:r>
        <w:rPr>
          <w:rFonts w:hint="eastAsia" w:ascii="仿宋" w:hAnsi="仿宋" w:eastAsia="仿宋" w:cs="仿宋_GB2312"/>
          <w:sz w:val="32"/>
          <w:szCs w:val="32"/>
        </w:rPr>
        <w:t>评估和</w:t>
      </w:r>
      <w:r>
        <w:rPr>
          <w:rFonts w:ascii="仿宋" w:hAnsi="仿宋" w:eastAsia="仿宋" w:cs="仿宋_GB2312"/>
          <w:sz w:val="32"/>
          <w:szCs w:val="32"/>
        </w:rPr>
        <w:t>风险</w:t>
      </w:r>
      <w:r>
        <w:rPr>
          <w:rFonts w:hint="eastAsia" w:ascii="仿宋" w:hAnsi="仿宋" w:eastAsia="仿宋" w:cs="仿宋_GB2312"/>
          <w:sz w:val="32"/>
          <w:szCs w:val="32"/>
        </w:rPr>
        <w:t>分析，根据监测分析结果、</w:t>
      </w:r>
      <w:r>
        <w:rPr>
          <w:rFonts w:ascii="仿宋" w:hAnsi="仿宋" w:eastAsia="仿宋" w:cs="仿宋_GB2312"/>
          <w:sz w:val="32"/>
          <w:szCs w:val="32"/>
        </w:rPr>
        <w:t>科技发展及</w:t>
      </w:r>
      <w:r>
        <w:rPr>
          <w:rFonts w:hint="eastAsia" w:ascii="仿宋" w:hAnsi="仿宋" w:eastAsia="仿宋" w:cs="仿宋_GB2312"/>
          <w:sz w:val="32"/>
          <w:szCs w:val="32"/>
        </w:rPr>
        <w:t>认知水平</w:t>
      </w:r>
      <w:r>
        <w:rPr>
          <w:rFonts w:ascii="仿宋" w:hAnsi="仿宋" w:eastAsia="仿宋" w:cs="仿宋_GB2312"/>
          <w:sz w:val="32"/>
          <w:szCs w:val="32"/>
        </w:rPr>
        <w:t>，</w:t>
      </w:r>
      <w:r>
        <w:rPr>
          <w:rFonts w:hint="eastAsia" w:ascii="仿宋" w:hAnsi="仿宋" w:eastAsia="仿宋" w:cs="仿宋_GB2312"/>
          <w:sz w:val="32"/>
          <w:szCs w:val="32"/>
        </w:rPr>
        <w:t>对当前研究开发</w:t>
      </w:r>
      <w:r>
        <w:rPr>
          <w:rFonts w:ascii="仿宋" w:hAnsi="仿宋" w:eastAsia="仿宋" w:cs="仿宋_GB2312"/>
          <w:sz w:val="32"/>
          <w:szCs w:val="32"/>
        </w:rPr>
        <w:t>活动</w:t>
      </w:r>
      <w:r>
        <w:rPr>
          <w:rFonts w:hint="eastAsia" w:ascii="仿宋" w:hAnsi="仿宋" w:eastAsia="仿宋" w:cs="仿宋_GB2312"/>
          <w:sz w:val="32"/>
          <w:szCs w:val="32"/>
        </w:rPr>
        <w:t>安全形势</w:t>
      </w:r>
      <w:r>
        <w:rPr>
          <w:rFonts w:ascii="仿宋" w:hAnsi="仿宋" w:eastAsia="仿宋" w:cs="仿宋_GB2312"/>
          <w:sz w:val="32"/>
          <w:szCs w:val="32"/>
        </w:rPr>
        <w:t>和前</w:t>
      </w:r>
      <w:r>
        <w:rPr>
          <w:rFonts w:hint="eastAsia" w:ascii="仿宋" w:hAnsi="仿宋" w:eastAsia="仿宋" w:cs="仿宋_GB2312"/>
          <w:sz w:val="32"/>
          <w:szCs w:val="32"/>
        </w:rPr>
        <w:t>沿技术潜在风险态势进行预判预警，动态调整生物技术研究开发风险活动清单。</w:t>
      </w:r>
    </w:p>
    <w:p>
      <w:pPr>
        <w:pStyle w:val="12"/>
        <w:widowControl w:val="0"/>
        <w:adjustRightInd w:val="0"/>
        <w:snapToGrid w:val="0"/>
        <w:spacing w:before="0" w:beforeAutospacing="0" w:after="0" w:afterAutospacing="0" w:line="360" w:lineRule="auto"/>
        <w:ind w:firstLine="643" w:firstLineChars="200"/>
        <w:jc w:val="both"/>
        <w:rPr>
          <w:rFonts w:ascii="仿宋" w:hAnsi="仿宋" w:eastAsia="仿宋" w:cs="仿宋_GB2312"/>
          <w:kern w:val="2"/>
          <w:sz w:val="32"/>
          <w:szCs w:val="32"/>
        </w:rPr>
      </w:pPr>
      <w:bookmarkStart w:id="23" w:name="_Toc2841902"/>
      <w:r>
        <w:rPr>
          <w:rStyle w:val="29"/>
          <w:rFonts w:hint="eastAsia" w:ascii="仿宋" w:hAnsi="仿宋"/>
        </w:rPr>
        <w:t>第二十条</w:t>
      </w:r>
      <w:bookmarkEnd w:id="23"/>
      <w:r>
        <w:rPr>
          <w:rStyle w:val="29"/>
          <w:rFonts w:hint="eastAsia" w:ascii="仿宋" w:hAnsi="仿宋" w:eastAsia="仿宋"/>
          <w:lang w:val="en-US" w:eastAsia="zh-CN"/>
        </w:rPr>
        <w:t xml:space="preserve"> </w:t>
      </w:r>
      <w:r>
        <w:rPr>
          <w:rFonts w:hint="eastAsia" w:ascii="仿宋" w:hAnsi="仿宋" w:eastAsia="仿宋" w:cs="仿宋_GB2312"/>
          <w:sz w:val="32"/>
          <w:szCs w:val="32"/>
        </w:rPr>
        <w:t>从事</w:t>
      </w:r>
      <w:r>
        <w:rPr>
          <w:rFonts w:hint="eastAsia" w:ascii="仿宋" w:hAnsi="仿宋" w:eastAsia="仿宋" w:cs="仿宋_GB2312"/>
          <w:kern w:val="2"/>
          <w:sz w:val="32"/>
          <w:szCs w:val="32"/>
        </w:rPr>
        <w:t>高</w:t>
      </w:r>
      <w:r>
        <w:rPr>
          <w:rFonts w:ascii="仿宋" w:hAnsi="仿宋" w:eastAsia="仿宋" w:cs="仿宋_GB2312"/>
          <w:kern w:val="2"/>
          <w:sz w:val="32"/>
          <w:szCs w:val="32"/>
        </w:rPr>
        <w:t>风险和</w:t>
      </w:r>
      <w:r>
        <w:rPr>
          <w:rFonts w:hint="eastAsia" w:ascii="仿宋" w:hAnsi="仿宋" w:eastAsia="仿宋" w:cs="仿宋_GB2312"/>
          <w:kern w:val="2"/>
          <w:sz w:val="32"/>
          <w:szCs w:val="32"/>
        </w:rPr>
        <w:t>一般风险</w:t>
      </w:r>
      <w:r>
        <w:rPr>
          <w:rFonts w:hint="eastAsia" w:ascii="仿宋" w:hAnsi="仿宋" w:eastAsia="仿宋" w:cs="仿宋_GB2312"/>
          <w:sz w:val="32"/>
          <w:szCs w:val="32"/>
        </w:rPr>
        <w:t>生物技术研究开发活动的单位和人员</w:t>
      </w:r>
      <w:r>
        <w:rPr>
          <w:rFonts w:ascii="仿宋" w:hAnsi="仿宋" w:eastAsia="仿宋" w:cs="仿宋_GB2312"/>
          <w:sz w:val="32"/>
          <w:szCs w:val="32"/>
        </w:rPr>
        <w:t>，</w:t>
      </w:r>
      <w:r>
        <w:rPr>
          <w:rFonts w:hint="eastAsia" w:ascii="仿宋" w:hAnsi="仿宋" w:eastAsia="仿宋" w:cs="仿宋_GB2312"/>
          <w:sz w:val="32"/>
          <w:szCs w:val="32"/>
        </w:rPr>
        <w:t>应主动识别将要开展的</w:t>
      </w:r>
      <w:r>
        <w:rPr>
          <w:rFonts w:hint="eastAsia" w:ascii="仿宋" w:hAnsi="仿宋" w:eastAsia="仿宋" w:cs="仿宋_GB2312"/>
          <w:kern w:val="2"/>
          <w:sz w:val="32"/>
          <w:szCs w:val="32"/>
        </w:rPr>
        <w:t>生物技术研究开发活动风险，</w:t>
      </w:r>
      <w:r>
        <w:rPr>
          <w:rFonts w:ascii="仿宋" w:hAnsi="仿宋" w:eastAsia="仿宋" w:cs="仿宋_GB2312"/>
          <w:kern w:val="2"/>
          <w:sz w:val="32"/>
          <w:szCs w:val="32"/>
        </w:rPr>
        <w:t>密切关注风险变化，</w:t>
      </w:r>
      <w:r>
        <w:rPr>
          <w:rFonts w:hint="eastAsia" w:ascii="仿宋" w:hAnsi="仿宋" w:eastAsia="仿宋" w:cs="仿宋_GB2312"/>
          <w:kern w:val="2"/>
          <w:sz w:val="32"/>
          <w:szCs w:val="32"/>
        </w:rPr>
        <w:t>对风险可能</w:t>
      </w:r>
      <w:r>
        <w:rPr>
          <w:rFonts w:ascii="仿宋" w:hAnsi="仿宋" w:eastAsia="仿宋" w:cs="仿宋_GB2312"/>
          <w:kern w:val="2"/>
          <w:sz w:val="32"/>
          <w:szCs w:val="32"/>
        </w:rPr>
        <w:t>升级的活动由单位</w:t>
      </w:r>
      <w:r>
        <w:rPr>
          <w:rFonts w:hint="eastAsia" w:ascii="仿宋" w:hAnsi="仿宋" w:eastAsia="仿宋" w:cs="仿宋_GB2312"/>
          <w:kern w:val="2"/>
          <w:sz w:val="32"/>
          <w:szCs w:val="32"/>
        </w:rPr>
        <w:t>按规定进行风险评估</w:t>
      </w:r>
      <w:r>
        <w:rPr>
          <w:rFonts w:ascii="仿宋" w:hAnsi="仿宋" w:eastAsia="仿宋" w:cs="仿宋_GB2312"/>
          <w:kern w:val="2"/>
          <w:sz w:val="32"/>
          <w:szCs w:val="32"/>
        </w:rPr>
        <w:t>或</w:t>
      </w:r>
      <w:r>
        <w:rPr>
          <w:rFonts w:hint="eastAsia" w:ascii="仿宋" w:hAnsi="仿宋" w:eastAsia="仿宋" w:cs="仿宋_GB2312"/>
          <w:kern w:val="2"/>
          <w:sz w:val="32"/>
          <w:szCs w:val="32"/>
        </w:rPr>
        <w:t>申请</w:t>
      </w:r>
      <w:r>
        <w:rPr>
          <w:rFonts w:ascii="仿宋" w:hAnsi="仿宋" w:eastAsia="仿宋" w:cs="仿宋_GB2312"/>
          <w:kern w:val="2"/>
          <w:sz w:val="32"/>
          <w:szCs w:val="32"/>
        </w:rPr>
        <w:t>审批</w:t>
      </w:r>
      <w:r>
        <w:rPr>
          <w:rFonts w:hint="eastAsia" w:ascii="仿宋" w:hAnsi="仿宋" w:eastAsia="仿宋" w:cs="仿宋_GB2312"/>
          <w:kern w:val="2"/>
          <w:sz w:val="32"/>
          <w:szCs w:val="32"/>
        </w:rPr>
        <w:t>。</w:t>
      </w:r>
    </w:p>
    <w:p>
      <w:pPr>
        <w:pStyle w:val="12"/>
        <w:widowControl w:val="0"/>
        <w:adjustRightInd w:val="0"/>
        <w:snapToGrid w:val="0"/>
        <w:spacing w:before="0" w:beforeAutospacing="0" w:after="0" w:afterAutospacing="0" w:line="360" w:lineRule="auto"/>
        <w:ind w:firstLine="643" w:firstLineChars="200"/>
        <w:jc w:val="both"/>
        <w:rPr>
          <w:rFonts w:ascii="仿宋" w:hAnsi="仿宋" w:eastAsia="仿宋" w:cs="仿宋_GB2312"/>
          <w:kern w:val="2"/>
          <w:sz w:val="32"/>
          <w:szCs w:val="32"/>
        </w:rPr>
      </w:pPr>
      <w:bookmarkStart w:id="24" w:name="_Toc2841903"/>
      <w:r>
        <w:rPr>
          <w:rStyle w:val="29"/>
          <w:rFonts w:hint="eastAsia" w:ascii="仿宋" w:hAnsi="仿宋"/>
        </w:rPr>
        <w:t>第二十一条</w:t>
      </w:r>
      <w:bookmarkEnd w:id="24"/>
      <w:r>
        <w:rPr>
          <w:rStyle w:val="29"/>
          <w:rFonts w:hint="eastAsia" w:ascii="仿宋" w:hAnsi="仿宋" w:eastAsia="仿宋"/>
          <w:lang w:val="en-US" w:eastAsia="zh-CN"/>
        </w:rPr>
        <w:t xml:space="preserve"> </w:t>
      </w:r>
      <w:r>
        <w:rPr>
          <w:rFonts w:hint="eastAsia" w:ascii="仿宋" w:hAnsi="仿宋" w:eastAsia="仿宋" w:cs="仿宋_GB2312"/>
          <w:kern w:val="2"/>
          <w:sz w:val="32"/>
          <w:szCs w:val="32"/>
        </w:rPr>
        <w:t>国家鼓励在保障科学目标的前提下，通过减少有风险操作、采取替代研究措施、优化研究流程等方式，降低生物技术研究开发活动风险。</w:t>
      </w:r>
    </w:p>
    <w:p>
      <w:pPr>
        <w:pStyle w:val="12"/>
        <w:widowControl w:val="0"/>
        <w:adjustRightInd w:val="0"/>
        <w:snapToGrid w:val="0"/>
        <w:spacing w:before="0" w:beforeAutospacing="0" w:after="0" w:afterAutospacing="0" w:line="360" w:lineRule="auto"/>
        <w:ind w:firstLine="640" w:firstLineChars="200"/>
        <w:jc w:val="both"/>
        <w:rPr>
          <w:rFonts w:ascii="仿宋" w:hAnsi="仿宋" w:eastAsia="仿宋" w:cs="仿宋_GB2312"/>
          <w:kern w:val="2"/>
          <w:sz w:val="32"/>
          <w:szCs w:val="32"/>
        </w:rPr>
      </w:pPr>
      <w:r>
        <w:rPr>
          <w:rFonts w:hint="eastAsia" w:ascii="仿宋" w:hAnsi="仿宋" w:eastAsia="仿宋" w:cs="仿宋_GB2312"/>
          <w:kern w:val="2"/>
          <w:sz w:val="32"/>
          <w:szCs w:val="32"/>
        </w:rPr>
        <w:t>开展高</w:t>
      </w:r>
      <w:r>
        <w:rPr>
          <w:rFonts w:ascii="仿宋" w:hAnsi="仿宋" w:eastAsia="仿宋" w:cs="仿宋_GB2312"/>
          <w:kern w:val="2"/>
          <w:sz w:val="32"/>
          <w:szCs w:val="32"/>
        </w:rPr>
        <w:t>风险和</w:t>
      </w:r>
      <w:r>
        <w:rPr>
          <w:rFonts w:hint="eastAsia" w:ascii="仿宋" w:hAnsi="仿宋" w:eastAsia="仿宋" w:cs="仿宋_GB2312"/>
          <w:kern w:val="2"/>
          <w:sz w:val="32"/>
          <w:szCs w:val="32"/>
        </w:rPr>
        <w:t>一般</w:t>
      </w:r>
      <w:r>
        <w:rPr>
          <w:rFonts w:ascii="仿宋" w:hAnsi="仿宋" w:eastAsia="仿宋" w:cs="仿宋_GB2312"/>
          <w:kern w:val="2"/>
          <w:sz w:val="32"/>
          <w:szCs w:val="32"/>
        </w:rPr>
        <w:t>风险</w:t>
      </w:r>
      <w:r>
        <w:rPr>
          <w:rFonts w:hint="eastAsia" w:ascii="仿宋" w:hAnsi="仿宋" w:eastAsia="仿宋" w:cs="仿宋_GB2312"/>
          <w:kern w:val="2"/>
          <w:sz w:val="32"/>
          <w:szCs w:val="32"/>
        </w:rPr>
        <w:t>生物技术研究开发活动，单位应组织制定风险消减计划，并</w:t>
      </w:r>
      <w:r>
        <w:rPr>
          <w:rFonts w:ascii="仿宋" w:hAnsi="仿宋" w:eastAsia="仿宋" w:cs="仿宋_GB2312"/>
          <w:kern w:val="2"/>
          <w:sz w:val="32"/>
          <w:szCs w:val="32"/>
        </w:rPr>
        <w:t>监督</w:t>
      </w:r>
      <w:r>
        <w:rPr>
          <w:rFonts w:hint="eastAsia" w:ascii="仿宋" w:hAnsi="仿宋" w:eastAsia="仿宋" w:cs="仿宋_GB2312"/>
          <w:kern w:val="2"/>
          <w:sz w:val="32"/>
          <w:szCs w:val="32"/>
        </w:rPr>
        <w:t xml:space="preserve"> </w:t>
      </w:r>
      <w:r>
        <w:rPr>
          <w:rFonts w:ascii="仿宋" w:hAnsi="仿宋" w:eastAsia="仿宋" w:cs="仿宋_GB2312"/>
          <w:kern w:val="2"/>
          <w:sz w:val="32"/>
          <w:szCs w:val="32"/>
        </w:rPr>
        <w:t>执行风险消减计划</w:t>
      </w:r>
      <w:r>
        <w:rPr>
          <w:rFonts w:hint="eastAsia" w:ascii="仿宋" w:hAnsi="仿宋" w:eastAsia="仿宋" w:cs="仿宋_GB2312"/>
          <w:kern w:val="2"/>
          <w:sz w:val="32"/>
          <w:szCs w:val="32"/>
        </w:rPr>
        <w:t>。</w:t>
      </w:r>
    </w:p>
    <w:p>
      <w:pPr>
        <w:pStyle w:val="12"/>
        <w:widowControl w:val="0"/>
        <w:adjustRightInd w:val="0"/>
        <w:snapToGrid w:val="0"/>
        <w:spacing w:before="0" w:beforeAutospacing="0" w:after="0" w:afterAutospacing="0" w:line="360" w:lineRule="auto"/>
        <w:ind w:firstLine="643" w:firstLineChars="200"/>
        <w:jc w:val="both"/>
        <w:rPr>
          <w:rFonts w:ascii="仿宋" w:hAnsi="仿宋" w:eastAsia="仿宋" w:cs="仿宋_GB2312"/>
          <w:kern w:val="2"/>
          <w:sz w:val="32"/>
          <w:szCs w:val="32"/>
        </w:rPr>
      </w:pPr>
      <w:bookmarkStart w:id="25" w:name="_Toc2841904"/>
      <w:r>
        <w:rPr>
          <w:rStyle w:val="29"/>
          <w:rFonts w:hint="eastAsia" w:ascii="仿宋" w:hAnsi="仿宋"/>
        </w:rPr>
        <w:t>第二十二条</w:t>
      </w:r>
      <w:bookmarkEnd w:id="25"/>
      <w:r>
        <w:rPr>
          <w:rStyle w:val="29"/>
          <w:rFonts w:hint="eastAsia" w:ascii="仿宋" w:hAnsi="仿宋" w:eastAsia="仿宋"/>
          <w:lang w:val="en-US" w:eastAsia="zh-CN"/>
        </w:rPr>
        <w:t xml:space="preserve"> </w:t>
      </w:r>
      <w:r>
        <w:rPr>
          <w:rFonts w:hint="eastAsia" w:ascii="仿宋" w:hAnsi="仿宋" w:eastAsia="仿宋" w:cs="仿宋_GB2312"/>
          <w:kern w:val="2"/>
          <w:sz w:val="32"/>
          <w:szCs w:val="32"/>
        </w:rPr>
        <w:t>单位应建立跟踪检查、</w:t>
      </w:r>
      <w:r>
        <w:rPr>
          <w:rFonts w:ascii="仿宋" w:hAnsi="仿宋" w:eastAsia="仿宋" w:cs="仿宋_GB2312"/>
          <w:kern w:val="2"/>
          <w:sz w:val="32"/>
          <w:szCs w:val="32"/>
        </w:rPr>
        <w:t>定期报告</w:t>
      </w:r>
      <w:r>
        <w:rPr>
          <w:rFonts w:hint="eastAsia" w:ascii="仿宋" w:hAnsi="仿宋" w:eastAsia="仿宋" w:cs="仿宋_GB2312"/>
          <w:kern w:val="2"/>
          <w:sz w:val="32"/>
          <w:szCs w:val="32"/>
        </w:rPr>
        <w:t>、</w:t>
      </w:r>
      <w:r>
        <w:rPr>
          <w:rFonts w:ascii="仿宋" w:hAnsi="仿宋" w:eastAsia="仿宋" w:cs="仿宋_GB2312"/>
          <w:kern w:val="2"/>
          <w:sz w:val="32"/>
          <w:szCs w:val="32"/>
        </w:rPr>
        <w:t>安全培训</w:t>
      </w:r>
      <w:r>
        <w:rPr>
          <w:rFonts w:hint="eastAsia" w:ascii="仿宋" w:hAnsi="仿宋" w:eastAsia="仿宋" w:cs="仿宋_GB2312"/>
          <w:kern w:val="2"/>
          <w:sz w:val="32"/>
          <w:szCs w:val="32"/>
        </w:rPr>
        <w:t>等制度，强化过程管理，</w:t>
      </w:r>
      <w:r>
        <w:rPr>
          <w:rFonts w:ascii="仿宋" w:hAnsi="仿宋" w:eastAsia="仿宋" w:cs="仿宋_GB2312"/>
          <w:kern w:val="2"/>
          <w:sz w:val="32"/>
          <w:szCs w:val="32"/>
        </w:rPr>
        <w:t>有</w:t>
      </w:r>
      <w:r>
        <w:rPr>
          <w:rFonts w:hint="eastAsia" w:ascii="仿宋" w:hAnsi="仿宋" w:eastAsia="仿宋" w:cs="仿宋_GB2312"/>
          <w:kern w:val="2"/>
          <w:sz w:val="32"/>
          <w:szCs w:val="32"/>
        </w:rPr>
        <w:t>效控制风险</w:t>
      </w:r>
      <w:r>
        <w:rPr>
          <w:rFonts w:ascii="仿宋" w:hAnsi="仿宋" w:eastAsia="仿宋" w:cs="仿宋_GB2312"/>
          <w:kern w:val="2"/>
          <w:sz w:val="32"/>
          <w:szCs w:val="32"/>
        </w:rPr>
        <w:t>。</w:t>
      </w:r>
    </w:p>
    <w:p>
      <w:pPr>
        <w:pStyle w:val="12"/>
        <w:widowControl w:val="0"/>
        <w:adjustRightInd w:val="0"/>
        <w:snapToGrid w:val="0"/>
        <w:spacing w:before="0" w:beforeAutospacing="0" w:after="0" w:afterAutospacing="0" w:line="360" w:lineRule="auto"/>
        <w:ind w:firstLine="643" w:firstLineChars="200"/>
        <w:jc w:val="both"/>
        <w:rPr>
          <w:rFonts w:ascii="仿宋" w:hAnsi="仿宋" w:eastAsia="仿宋" w:cs="仿宋_GB2312"/>
          <w:sz w:val="32"/>
          <w:szCs w:val="32"/>
        </w:rPr>
      </w:pPr>
      <w:bookmarkStart w:id="26" w:name="_Toc2841905"/>
      <w:r>
        <w:rPr>
          <w:rStyle w:val="29"/>
          <w:rFonts w:hint="eastAsia" w:ascii="仿宋" w:hAnsi="仿宋"/>
        </w:rPr>
        <w:t>第二十三条</w:t>
      </w:r>
      <w:bookmarkEnd w:id="26"/>
      <w:r>
        <w:rPr>
          <w:rStyle w:val="29"/>
          <w:rFonts w:hint="eastAsia" w:ascii="仿宋" w:hAnsi="仿宋" w:eastAsia="仿宋"/>
          <w:lang w:val="en-US" w:eastAsia="zh-CN"/>
        </w:rPr>
        <w:t xml:space="preserve"> </w:t>
      </w:r>
      <w:r>
        <w:rPr>
          <w:rFonts w:hint="eastAsia" w:ascii="仿宋" w:hAnsi="仿宋" w:eastAsia="仿宋" w:cs="仿宋_GB2312"/>
          <w:kern w:val="2"/>
          <w:sz w:val="32"/>
          <w:szCs w:val="32"/>
        </w:rPr>
        <w:t>单位</w:t>
      </w:r>
      <w:r>
        <w:rPr>
          <w:rFonts w:ascii="仿宋" w:hAnsi="仿宋" w:eastAsia="仿宋" w:cs="仿宋_GB2312"/>
          <w:kern w:val="2"/>
          <w:sz w:val="32"/>
          <w:szCs w:val="32"/>
        </w:rPr>
        <w:t>和</w:t>
      </w:r>
      <w:r>
        <w:rPr>
          <w:rFonts w:hint="eastAsia" w:ascii="仿宋" w:hAnsi="仿宋" w:eastAsia="仿宋" w:cs="仿宋_GB2312"/>
          <w:kern w:val="2"/>
          <w:sz w:val="32"/>
          <w:szCs w:val="32"/>
        </w:rPr>
        <w:t>人员应保存真实、准确</w:t>
      </w:r>
      <w:r>
        <w:rPr>
          <w:rFonts w:ascii="仿宋" w:hAnsi="仿宋" w:eastAsia="仿宋" w:cs="仿宋_GB2312"/>
          <w:kern w:val="2"/>
          <w:sz w:val="32"/>
          <w:szCs w:val="32"/>
        </w:rPr>
        <w:t>、</w:t>
      </w:r>
      <w:r>
        <w:rPr>
          <w:rFonts w:hint="eastAsia" w:ascii="仿宋" w:hAnsi="仿宋" w:eastAsia="仿宋" w:cs="仿宋_GB2312"/>
          <w:kern w:val="2"/>
          <w:sz w:val="32"/>
          <w:szCs w:val="32"/>
        </w:rPr>
        <w:t>完整的活动记录，并</w:t>
      </w:r>
      <w:r>
        <w:rPr>
          <w:rFonts w:hint="eastAsia" w:ascii="仿宋" w:hAnsi="仿宋" w:eastAsia="仿宋" w:cs="仿宋_GB2312"/>
          <w:sz w:val="32"/>
          <w:szCs w:val="32"/>
        </w:rPr>
        <w:t>保障相关信息生成、收集、保存及报送等的安全。</w:t>
      </w:r>
    </w:p>
    <w:p>
      <w:pPr>
        <w:pStyle w:val="12"/>
        <w:widowControl w:val="0"/>
        <w:adjustRightInd w:val="0"/>
        <w:snapToGrid w:val="0"/>
        <w:spacing w:before="0" w:beforeAutospacing="0" w:after="0" w:afterAutospacing="0" w:line="360" w:lineRule="auto"/>
        <w:ind w:firstLine="643" w:firstLineChars="200"/>
        <w:jc w:val="both"/>
        <w:rPr>
          <w:rFonts w:ascii="仿宋" w:hAnsi="仿宋" w:eastAsia="仿宋" w:cs="仿宋_GB2312"/>
          <w:sz w:val="32"/>
          <w:szCs w:val="32"/>
        </w:rPr>
      </w:pPr>
      <w:bookmarkStart w:id="27" w:name="_Toc2841906"/>
      <w:r>
        <w:rPr>
          <w:rStyle w:val="29"/>
          <w:rFonts w:hint="eastAsia" w:ascii="仿宋" w:hAnsi="仿宋"/>
        </w:rPr>
        <w:t>第二十四条</w:t>
      </w:r>
      <w:bookmarkEnd w:id="27"/>
      <w:r>
        <w:rPr>
          <w:rStyle w:val="29"/>
          <w:rFonts w:hint="eastAsia" w:ascii="仿宋" w:hAnsi="仿宋" w:eastAsia="仿宋"/>
          <w:lang w:val="en-US" w:eastAsia="zh-CN"/>
        </w:rPr>
        <w:t xml:space="preserve"> </w:t>
      </w:r>
      <w:r>
        <w:rPr>
          <w:rFonts w:hint="eastAsia" w:ascii="仿宋" w:hAnsi="仿宋" w:eastAsia="仿宋" w:cs="仿宋_GB2312"/>
          <w:kern w:val="2"/>
          <w:sz w:val="32"/>
          <w:szCs w:val="32"/>
        </w:rPr>
        <w:t>单位应对高风险生物技术研究开发活动的成果转移和信息发布进行审查，如有必要，可提请</w:t>
      </w:r>
      <w:r>
        <w:rPr>
          <w:rFonts w:hint="eastAsia" w:ascii="仿宋" w:hAnsi="仿宋" w:eastAsia="仿宋" w:cs="仿宋_GB2312"/>
          <w:bCs/>
          <w:kern w:val="2"/>
          <w:sz w:val="32"/>
          <w:szCs w:val="22"/>
        </w:rPr>
        <w:t>所在地</w:t>
      </w:r>
      <w:r>
        <w:rPr>
          <w:rFonts w:hint="eastAsia" w:ascii="仿宋" w:hAnsi="仿宋" w:eastAsia="仿宋" w:cs="仿宋_GB2312"/>
          <w:sz w:val="32"/>
          <w:szCs w:val="32"/>
        </w:rPr>
        <w:t>省、自治区、直辖市人民政府科学技术行政部门</w:t>
      </w:r>
      <w:r>
        <w:rPr>
          <w:rFonts w:hint="eastAsia" w:ascii="仿宋" w:hAnsi="仿宋" w:eastAsia="仿宋" w:cs="仿宋_GB2312"/>
          <w:kern w:val="2"/>
          <w:sz w:val="32"/>
          <w:szCs w:val="32"/>
        </w:rPr>
        <w:t>审查。</w:t>
      </w:r>
    </w:p>
    <w:p>
      <w:pPr>
        <w:pStyle w:val="12"/>
        <w:snapToGrid w:val="0"/>
        <w:spacing w:before="0" w:beforeAutospacing="0" w:after="0" w:afterAutospacing="0" w:line="360" w:lineRule="auto"/>
        <w:ind w:firstLine="643" w:firstLineChars="200"/>
        <w:jc w:val="both"/>
        <w:rPr>
          <w:rFonts w:ascii="仿宋" w:hAnsi="仿宋" w:eastAsia="仿宋" w:cs="仿宋_GB2312"/>
          <w:sz w:val="32"/>
          <w:szCs w:val="32"/>
        </w:rPr>
      </w:pPr>
      <w:bookmarkStart w:id="28" w:name="_Toc956402"/>
      <w:bookmarkStart w:id="29" w:name="_Toc2841907"/>
      <w:r>
        <w:rPr>
          <w:rStyle w:val="29"/>
          <w:rFonts w:hint="eastAsia" w:ascii="仿宋" w:hAnsi="仿宋"/>
        </w:rPr>
        <w:t>第二十五条</w:t>
      </w:r>
      <w:bookmarkEnd w:id="28"/>
      <w:bookmarkEnd w:id="29"/>
      <w:r>
        <w:rPr>
          <w:rStyle w:val="29"/>
          <w:rFonts w:hint="eastAsia" w:ascii="仿宋" w:hAnsi="仿宋" w:eastAsia="仿宋"/>
          <w:lang w:val="en-US" w:eastAsia="zh-CN"/>
        </w:rPr>
        <w:t xml:space="preserve"> </w:t>
      </w:r>
      <w:r>
        <w:rPr>
          <w:rFonts w:hint="eastAsia" w:ascii="仿宋" w:hAnsi="仿宋" w:eastAsia="仿宋" w:cs="仿宋_GB2312"/>
          <w:sz w:val="32"/>
          <w:szCs w:val="32"/>
        </w:rPr>
        <w:t>国家建立生物</w:t>
      </w:r>
      <w:r>
        <w:rPr>
          <w:rFonts w:ascii="仿宋" w:hAnsi="仿宋" w:eastAsia="仿宋" w:cs="仿宋_GB2312"/>
          <w:sz w:val="32"/>
          <w:szCs w:val="32"/>
        </w:rPr>
        <w:t>技术</w:t>
      </w:r>
      <w:r>
        <w:rPr>
          <w:rFonts w:hint="eastAsia" w:ascii="仿宋" w:hAnsi="仿宋" w:eastAsia="仿宋" w:cs="仿宋_GB2312"/>
          <w:sz w:val="32"/>
          <w:szCs w:val="32"/>
        </w:rPr>
        <w:t>研究</w:t>
      </w:r>
      <w:r>
        <w:rPr>
          <w:rFonts w:ascii="仿宋" w:hAnsi="仿宋" w:eastAsia="仿宋" w:cs="仿宋_GB2312"/>
          <w:sz w:val="32"/>
          <w:szCs w:val="32"/>
        </w:rPr>
        <w:t>开发</w:t>
      </w:r>
      <w:r>
        <w:rPr>
          <w:rFonts w:hint="eastAsia" w:ascii="仿宋" w:hAnsi="仿宋" w:eastAsia="仿宋" w:cs="仿宋_GB2312"/>
          <w:sz w:val="32"/>
          <w:szCs w:val="32"/>
        </w:rPr>
        <w:t>安全事件和事故报告制度。发生生物</w:t>
      </w:r>
      <w:r>
        <w:rPr>
          <w:rFonts w:ascii="仿宋" w:hAnsi="仿宋" w:eastAsia="仿宋" w:cs="仿宋_GB2312"/>
          <w:sz w:val="32"/>
          <w:szCs w:val="32"/>
        </w:rPr>
        <w:t>技术</w:t>
      </w:r>
      <w:r>
        <w:rPr>
          <w:rFonts w:hint="eastAsia" w:ascii="仿宋" w:hAnsi="仿宋" w:eastAsia="仿宋" w:cs="仿宋_GB2312"/>
          <w:sz w:val="32"/>
          <w:szCs w:val="32"/>
        </w:rPr>
        <w:t>研究</w:t>
      </w:r>
      <w:r>
        <w:rPr>
          <w:rFonts w:ascii="仿宋" w:hAnsi="仿宋" w:eastAsia="仿宋" w:cs="仿宋_GB2312"/>
          <w:sz w:val="32"/>
          <w:szCs w:val="32"/>
        </w:rPr>
        <w:t>开发</w:t>
      </w:r>
      <w:r>
        <w:rPr>
          <w:rFonts w:hint="eastAsia" w:ascii="仿宋" w:hAnsi="仿宋" w:eastAsia="仿宋" w:cs="仿宋_GB2312"/>
          <w:sz w:val="32"/>
          <w:szCs w:val="32"/>
        </w:rPr>
        <w:t>安全事件和事故的单位应立即向所在地省、自治区、直辖市人民政府科学技术行政部门报告。有上级主管部门的，应同时向上级主管部门报告。任何单位和个人</w:t>
      </w:r>
      <w:r>
        <w:rPr>
          <w:rStyle w:val="28"/>
          <w:rFonts w:hint="eastAsia" w:ascii="仿宋" w:hAnsi="仿宋" w:cs="仿宋_GB2312"/>
          <w:b w:val="0"/>
          <w:bCs w:val="0"/>
        </w:rPr>
        <w:t>不得故意拖延、隐瞒或谎报，</w:t>
      </w:r>
      <w:r>
        <w:rPr>
          <w:rFonts w:hint="eastAsia" w:ascii="仿宋" w:hAnsi="仿宋" w:eastAsia="仿宋" w:cs="仿宋_GB2312"/>
          <w:sz w:val="32"/>
          <w:szCs w:val="32"/>
        </w:rPr>
        <w:t>不得隐匿、伪造、毁灭有关证据。</w:t>
      </w:r>
    </w:p>
    <w:p>
      <w:pPr>
        <w:pStyle w:val="12"/>
        <w:widowControl w:val="0"/>
        <w:adjustRightInd w:val="0"/>
        <w:snapToGrid w:val="0"/>
        <w:spacing w:before="0" w:beforeAutospacing="0" w:after="0" w:afterAutospacing="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对于重大安全事件和事故，省、自治区、直辖市人民政府科学技术行政部门接报后应及时向省、自治区、直辖市人民政府和国务院科学技术行政部门报告。</w:t>
      </w:r>
    </w:p>
    <w:p>
      <w:pPr>
        <w:pStyle w:val="12"/>
        <w:snapToGrid w:val="0"/>
        <w:spacing w:before="0" w:beforeAutospacing="0" w:after="0" w:afterAutospacing="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对于特别重大安全事件和事故，省、自治区、直辖市人民政府和国务院科学技术行政部门接报后应及时向国务院报告。</w:t>
      </w:r>
    </w:p>
    <w:p>
      <w:pPr>
        <w:pStyle w:val="12"/>
        <w:snapToGrid w:val="0"/>
        <w:spacing w:before="0" w:beforeAutospacing="0" w:after="0" w:afterAutospacing="0" w:line="360" w:lineRule="auto"/>
        <w:ind w:firstLine="643" w:firstLineChars="200"/>
        <w:jc w:val="both"/>
        <w:rPr>
          <w:rFonts w:ascii="仿宋" w:hAnsi="仿宋" w:eastAsia="仿宋" w:cs="仿宋_GB2312"/>
          <w:sz w:val="32"/>
          <w:szCs w:val="32"/>
        </w:rPr>
      </w:pPr>
      <w:bookmarkStart w:id="30" w:name="_Toc956403"/>
      <w:bookmarkStart w:id="31" w:name="_Toc2841908"/>
      <w:r>
        <w:rPr>
          <w:rStyle w:val="29"/>
          <w:rFonts w:hint="eastAsia" w:ascii="仿宋" w:hAnsi="仿宋"/>
        </w:rPr>
        <w:t>第二十六条</w:t>
      </w:r>
      <w:bookmarkEnd w:id="30"/>
      <w:bookmarkEnd w:id="31"/>
      <w:r>
        <w:rPr>
          <w:rStyle w:val="29"/>
          <w:rFonts w:hint="eastAsia" w:ascii="仿宋" w:hAnsi="仿宋" w:eastAsia="仿宋"/>
          <w:lang w:val="en-US" w:eastAsia="zh-CN"/>
        </w:rPr>
        <w:t xml:space="preserve"> </w:t>
      </w:r>
      <w:r>
        <w:rPr>
          <w:rFonts w:hint="eastAsia" w:ascii="仿宋" w:hAnsi="仿宋" w:eastAsia="仿宋" w:cs="仿宋_GB2312"/>
          <w:sz w:val="32"/>
          <w:szCs w:val="32"/>
        </w:rPr>
        <w:t>国务院科学技术行政部门和省、自治区、直辖市人民政府科学技术行政部门应会同其他同级相关部门，制定生物技术研究开发活动安全事件应急预案，并根据实际需要和情势变化适时修订。</w:t>
      </w:r>
    </w:p>
    <w:p>
      <w:pPr>
        <w:pStyle w:val="12"/>
        <w:snapToGrid w:val="0"/>
        <w:spacing w:before="0" w:beforeAutospacing="0" w:after="0" w:afterAutospacing="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开展生物技术研究开发活动的单位应根据所开展活动的特点，制定具体应急预案。</w:t>
      </w:r>
    </w:p>
    <w:p>
      <w:pPr>
        <w:pStyle w:val="12"/>
        <w:snapToGrid w:val="0"/>
        <w:spacing w:before="0" w:beforeAutospacing="0" w:after="0" w:afterAutospacing="0" w:line="360" w:lineRule="auto"/>
        <w:ind w:firstLine="643" w:firstLineChars="200"/>
        <w:jc w:val="both"/>
        <w:rPr>
          <w:rFonts w:ascii="仿宋" w:hAnsi="仿宋" w:eastAsia="仿宋" w:cs="仿宋_GB2312"/>
          <w:sz w:val="32"/>
          <w:szCs w:val="32"/>
        </w:rPr>
      </w:pPr>
      <w:bookmarkStart w:id="32" w:name="_Toc2841909"/>
      <w:bookmarkStart w:id="33" w:name="_Toc956404"/>
      <w:r>
        <w:rPr>
          <w:rStyle w:val="29"/>
          <w:rFonts w:hint="eastAsia" w:ascii="仿宋" w:hAnsi="仿宋"/>
        </w:rPr>
        <w:t>第二十七条</w:t>
      </w:r>
      <w:bookmarkEnd w:id="32"/>
      <w:bookmarkEnd w:id="33"/>
      <w:r>
        <w:rPr>
          <w:rStyle w:val="29"/>
          <w:rFonts w:hint="eastAsia" w:ascii="仿宋" w:hAnsi="仿宋" w:eastAsia="仿宋"/>
          <w:lang w:val="en-US" w:eastAsia="zh-CN"/>
        </w:rPr>
        <w:t xml:space="preserve"> </w:t>
      </w:r>
      <w:r>
        <w:rPr>
          <w:rFonts w:hint="eastAsia" w:ascii="仿宋" w:hAnsi="仿宋" w:eastAsia="仿宋" w:cs="仿宋_GB2312"/>
          <w:sz w:val="32"/>
          <w:szCs w:val="32"/>
        </w:rPr>
        <w:t>安全事件和事故发生后，开展生物技术研究开发活动的单位应立即启动</w:t>
      </w:r>
      <w:r>
        <w:rPr>
          <w:rFonts w:ascii="仿宋" w:hAnsi="仿宋" w:eastAsia="仿宋" w:cs="仿宋_GB2312"/>
          <w:sz w:val="32"/>
          <w:szCs w:val="32"/>
        </w:rPr>
        <w:t>应急预案，</w:t>
      </w:r>
      <w:r>
        <w:rPr>
          <w:rFonts w:hint="eastAsia" w:ascii="仿宋" w:hAnsi="仿宋" w:eastAsia="仿宋" w:cs="仿宋_GB2312"/>
          <w:sz w:val="32"/>
          <w:szCs w:val="32"/>
        </w:rPr>
        <w:t>采取应急处置措施，防止危害扩大。</w:t>
      </w:r>
    </w:p>
    <w:p>
      <w:pPr>
        <w:pStyle w:val="12"/>
        <w:snapToGrid w:val="0"/>
        <w:spacing w:before="0" w:beforeAutospacing="0" w:after="0" w:afterAutospacing="0" w:line="360" w:lineRule="auto"/>
        <w:ind w:firstLine="640" w:firstLineChars="200"/>
        <w:jc w:val="both"/>
        <w:rPr>
          <w:rFonts w:ascii="仿宋" w:hAnsi="仿宋" w:eastAsia="仿宋" w:cs="仿宋_GB2312"/>
          <w:kern w:val="2"/>
          <w:sz w:val="32"/>
          <w:szCs w:val="32"/>
        </w:rPr>
      </w:pPr>
      <w:r>
        <w:rPr>
          <w:rFonts w:hint="eastAsia" w:ascii="仿宋" w:hAnsi="仿宋" w:eastAsia="仿宋" w:cs="仿宋_GB2312"/>
          <w:sz w:val="32"/>
          <w:szCs w:val="32"/>
        </w:rPr>
        <w:t>对于重大安全事件和事故，省、自治区、直辖市人民政府及其有关部门应立即启动</w:t>
      </w:r>
      <w:r>
        <w:rPr>
          <w:rFonts w:ascii="仿宋" w:hAnsi="仿宋" w:eastAsia="仿宋" w:cs="仿宋_GB2312"/>
          <w:sz w:val="32"/>
          <w:szCs w:val="32"/>
        </w:rPr>
        <w:t>应急预案</w:t>
      </w:r>
      <w:r>
        <w:rPr>
          <w:rFonts w:hint="eastAsia" w:ascii="仿宋" w:hAnsi="仿宋" w:eastAsia="仿宋" w:cs="仿宋_GB2312"/>
          <w:sz w:val="32"/>
          <w:szCs w:val="32"/>
        </w:rPr>
        <w:t>，采取相应应急处置措施；对于特别重大安全事件和事故，国务院及其有关部门应立即启动</w:t>
      </w:r>
      <w:r>
        <w:rPr>
          <w:rFonts w:ascii="仿宋" w:hAnsi="仿宋" w:eastAsia="仿宋" w:cs="仿宋_GB2312"/>
          <w:sz w:val="32"/>
          <w:szCs w:val="32"/>
        </w:rPr>
        <w:t>应急预案</w:t>
      </w:r>
      <w:r>
        <w:rPr>
          <w:rFonts w:hint="eastAsia" w:ascii="仿宋" w:hAnsi="仿宋" w:eastAsia="仿宋" w:cs="仿宋_GB2312"/>
          <w:sz w:val="32"/>
          <w:szCs w:val="32"/>
        </w:rPr>
        <w:t>，采取必要应急措施，最大限度地减轻安全事件和事故的影响。有上级主管部门的，上级主管部门应采取相应应急处置措施。</w:t>
      </w:r>
    </w:p>
    <w:p>
      <w:pPr>
        <w:pStyle w:val="2"/>
        <w:keepNext w:val="0"/>
        <w:keepLines w:val="0"/>
        <w:adjustRightInd w:val="0"/>
        <w:snapToGrid w:val="0"/>
        <w:spacing w:before="312" w:beforeLines="100" w:after="312" w:afterLines="100" w:line="360" w:lineRule="auto"/>
        <w:jc w:val="center"/>
        <w:rPr>
          <w:rStyle w:val="29"/>
          <w:rFonts w:ascii="仿宋" w:hAnsi="仿宋"/>
          <w:b/>
          <w:bCs/>
        </w:rPr>
      </w:pPr>
      <w:bookmarkStart w:id="34" w:name="_Toc2841910"/>
      <w:r>
        <w:rPr>
          <w:rFonts w:hint="eastAsia" w:ascii="仿宋" w:hAnsi="仿宋"/>
        </w:rPr>
        <w:t>第四章　服务</w:t>
      </w:r>
      <w:r>
        <w:rPr>
          <w:rFonts w:ascii="仿宋" w:hAnsi="仿宋"/>
        </w:rPr>
        <w:t>与</w:t>
      </w:r>
      <w:bookmarkStart w:id="35" w:name="_Toc535921825"/>
      <w:r>
        <w:rPr>
          <w:rFonts w:hint="eastAsia" w:ascii="仿宋" w:hAnsi="仿宋"/>
        </w:rPr>
        <w:t>监督</w:t>
      </w:r>
      <w:bookmarkEnd w:id="34"/>
    </w:p>
    <w:p>
      <w:pPr>
        <w:adjustRightInd w:val="0"/>
        <w:snapToGrid w:val="0"/>
        <w:spacing w:line="360" w:lineRule="auto"/>
        <w:ind w:firstLine="643" w:firstLineChars="200"/>
        <w:rPr>
          <w:rFonts w:ascii="仿宋" w:hAnsi="仿宋" w:cs="仿宋_GB2312"/>
          <w:szCs w:val="32"/>
        </w:rPr>
      </w:pPr>
      <w:bookmarkStart w:id="36" w:name="_Toc2841911"/>
      <w:r>
        <w:rPr>
          <w:rStyle w:val="29"/>
          <w:rFonts w:hint="eastAsia" w:ascii="仿宋" w:hAnsi="仿宋"/>
        </w:rPr>
        <w:t>第二十八条</w:t>
      </w:r>
      <w:bookmarkEnd w:id="36"/>
      <w:r>
        <w:rPr>
          <w:rStyle w:val="29"/>
          <w:rFonts w:hint="eastAsia" w:ascii="仿宋" w:hAnsi="仿宋"/>
          <w:lang w:val="en-US" w:eastAsia="zh-CN"/>
        </w:rPr>
        <w:t xml:space="preserve"> </w:t>
      </w:r>
      <w:r>
        <w:rPr>
          <w:rFonts w:hint="eastAsia" w:ascii="仿宋" w:hAnsi="仿宋" w:cs="仿宋_GB2312"/>
          <w:szCs w:val="32"/>
        </w:rPr>
        <w:t>国务院科学技术行政部门设立国家</w:t>
      </w:r>
      <w:r>
        <w:rPr>
          <w:rFonts w:hint="eastAsia" w:ascii="仿宋" w:hAnsi="仿宋" w:cs="仿宋_GB2312"/>
        </w:rPr>
        <w:t>生物技术安全</w:t>
      </w:r>
      <w:r>
        <w:rPr>
          <w:rFonts w:ascii="仿宋" w:hAnsi="仿宋" w:cs="仿宋_GB2312"/>
        </w:rPr>
        <w:t>委员会</w:t>
      </w:r>
      <w:r>
        <w:rPr>
          <w:rFonts w:hint="eastAsia" w:ascii="仿宋" w:hAnsi="仿宋" w:cs="仿宋_GB2312"/>
        </w:rPr>
        <w:t>，</w:t>
      </w:r>
      <w:r>
        <w:rPr>
          <w:rFonts w:hint="eastAsia" w:ascii="仿宋" w:hAnsi="仿宋" w:cs="仿宋_GB2312"/>
          <w:szCs w:val="32"/>
        </w:rPr>
        <w:t>提供生物技术研究开发安全管理战略咨询，提出生物技术研究开发风险活动清单建议，配合开展培训、监督检查和应急处置等工作。</w:t>
      </w:r>
    </w:p>
    <w:p>
      <w:pPr>
        <w:pStyle w:val="12"/>
        <w:widowControl w:val="0"/>
        <w:adjustRightInd w:val="0"/>
        <w:snapToGrid w:val="0"/>
        <w:spacing w:before="0" w:beforeAutospacing="0" w:after="0" w:afterAutospacing="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省、自治区、直辖市人民政府科学技术行政部门设立省级</w:t>
      </w:r>
      <w:r>
        <w:rPr>
          <w:rFonts w:hint="eastAsia" w:ascii="仿宋" w:hAnsi="仿宋" w:eastAsia="仿宋" w:cs="仿宋_GB2312"/>
          <w:kern w:val="2"/>
          <w:sz w:val="32"/>
          <w:szCs w:val="22"/>
        </w:rPr>
        <w:t>生物技术安全</w:t>
      </w:r>
      <w:r>
        <w:rPr>
          <w:rFonts w:ascii="仿宋" w:hAnsi="仿宋" w:eastAsia="仿宋" w:cs="仿宋_GB2312"/>
          <w:kern w:val="2"/>
          <w:sz w:val="32"/>
          <w:szCs w:val="22"/>
        </w:rPr>
        <w:t>委员会</w:t>
      </w:r>
      <w:r>
        <w:rPr>
          <w:rFonts w:hint="eastAsia" w:ascii="仿宋" w:hAnsi="仿宋" w:eastAsia="仿宋" w:cs="仿宋_GB2312"/>
          <w:kern w:val="2"/>
          <w:sz w:val="32"/>
          <w:szCs w:val="22"/>
        </w:rPr>
        <w:t>，</w:t>
      </w:r>
      <w:r>
        <w:rPr>
          <w:rFonts w:hint="eastAsia" w:ascii="仿宋" w:hAnsi="仿宋" w:eastAsia="仿宋" w:cs="仿宋_GB2312"/>
          <w:sz w:val="32"/>
          <w:szCs w:val="32"/>
        </w:rPr>
        <w:t>对本行政区域申报的高风险生物技术研究开发活动进行技术评审，配合开展培训、监督检查、风险级别判</w:t>
      </w:r>
      <w:r>
        <w:rPr>
          <w:rFonts w:ascii="仿宋" w:hAnsi="仿宋" w:eastAsia="仿宋" w:cs="仿宋_GB2312"/>
          <w:sz w:val="32"/>
          <w:szCs w:val="32"/>
        </w:rPr>
        <w:t>定</w:t>
      </w:r>
      <w:r>
        <w:rPr>
          <w:rFonts w:hint="eastAsia" w:ascii="仿宋" w:hAnsi="仿宋" w:eastAsia="仿宋" w:cs="仿宋_GB2312"/>
          <w:sz w:val="32"/>
          <w:szCs w:val="32"/>
        </w:rPr>
        <w:t>和应急处置等工作，指导本行政区域单位生物技术安全委员会工作等。</w:t>
      </w:r>
    </w:p>
    <w:p>
      <w:pPr>
        <w:pStyle w:val="12"/>
        <w:widowControl w:val="0"/>
        <w:adjustRightInd w:val="0"/>
        <w:snapToGrid w:val="0"/>
        <w:spacing w:before="0" w:beforeAutospacing="0" w:after="0" w:afterAutospacing="0" w:line="360" w:lineRule="auto"/>
        <w:ind w:firstLine="640" w:firstLineChars="200"/>
        <w:jc w:val="both"/>
        <w:rPr>
          <w:rStyle w:val="29"/>
          <w:rFonts w:ascii="仿宋" w:hAnsi="仿宋"/>
        </w:rPr>
      </w:pPr>
      <w:r>
        <w:rPr>
          <w:rFonts w:hint="eastAsia" w:ascii="仿宋" w:hAnsi="仿宋" w:eastAsia="仿宋" w:cs="仿宋_GB2312"/>
          <w:sz w:val="32"/>
          <w:szCs w:val="32"/>
        </w:rPr>
        <w:t>各级委员会的</w:t>
      </w:r>
      <w:r>
        <w:rPr>
          <w:rFonts w:ascii="仿宋" w:hAnsi="仿宋" w:eastAsia="仿宋" w:cs="仿宋_GB2312"/>
          <w:sz w:val="32"/>
          <w:szCs w:val="32"/>
        </w:rPr>
        <w:t>管理</w:t>
      </w:r>
      <w:r>
        <w:rPr>
          <w:rFonts w:hint="eastAsia" w:ascii="仿宋" w:hAnsi="仿宋" w:eastAsia="仿宋" w:cs="仿宋_GB2312"/>
          <w:sz w:val="32"/>
          <w:szCs w:val="32"/>
        </w:rPr>
        <w:t>办法</w:t>
      </w:r>
      <w:r>
        <w:rPr>
          <w:rFonts w:ascii="仿宋" w:hAnsi="仿宋" w:eastAsia="仿宋" w:cs="仿宋_GB2312"/>
          <w:sz w:val="32"/>
          <w:szCs w:val="32"/>
        </w:rPr>
        <w:t>由</w:t>
      </w:r>
      <w:r>
        <w:rPr>
          <w:rFonts w:hint="eastAsia" w:ascii="仿宋" w:hAnsi="仿宋" w:eastAsia="仿宋" w:cs="仿宋_GB2312"/>
          <w:sz w:val="32"/>
          <w:szCs w:val="32"/>
        </w:rPr>
        <w:t>国务院科学技术行政部门另行制定。</w:t>
      </w:r>
    </w:p>
    <w:p>
      <w:pPr>
        <w:pStyle w:val="12"/>
        <w:widowControl w:val="0"/>
        <w:adjustRightInd w:val="0"/>
        <w:snapToGrid w:val="0"/>
        <w:spacing w:before="0" w:beforeAutospacing="0" w:after="0" w:afterAutospacing="0" w:line="360" w:lineRule="auto"/>
        <w:ind w:firstLine="643" w:firstLineChars="200"/>
        <w:jc w:val="both"/>
        <w:rPr>
          <w:rFonts w:ascii="仿宋" w:hAnsi="仿宋" w:eastAsia="仿宋" w:cs="仿宋_GB2312"/>
          <w:sz w:val="32"/>
          <w:szCs w:val="32"/>
        </w:rPr>
      </w:pPr>
      <w:bookmarkStart w:id="37" w:name="_Toc2841912"/>
      <w:r>
        <w:rPr>
          <w:rStyle w:val="29"/>
          <w:rFonts w:hint="eastAsia" w:ascii="仿宋" w:hAnsi="仿宋"/>
        </w:rPr>
        <w:t>第二十九条</w:t>
      </w:r>
      <w:bookmarkEnd w:id="37"/>
      <w:r>
        <w:rPr>
          <w:rStyle w:val="29"/>
          <w:rFonts w:hint="eastAsia" w:ascii="仿宋" w:hAnsi="仿宋" w:eastAsia="仿宋"/>
          <w:lang w:val="en-US" w:eastAsia="zh-CN"/>
        </w:rPr>
        <w:t xml:space="preserve"> </w:t>
      </w:r>
      <w:r>
        <w:rPr>
          <w:rFonts w:hint="eastAsia" w:ascii="仿宋" w:hAnsi="仿宋" w:eastAsia="仿宋" w:cs="仿宋_GB2312"/>
          <w:sz w:val="32"/>
          <w:szCs w:val="32"/>
        </w:rPr>
        <w:t>国务院科学技术行政部门应制定并及时发布有关生物技术研究开发活动的审批指南和示范文本。</w:t>
      </w:r>
    </w:p>
    <w:p>
      <w:pPr>
        <w:pStyle w:val="12"/>
        <w:widowControl w:val="0"/>
        <w:adjustRightInd w:val="0"/>
        <w:snapToGrid w:val="0"/>
        <w:spacing w:before="0" w:beforeAutospacing="0" w:after="0" w:afterAutospacing="0" w:line="360" w:lineRule="auto"/>
        <w:ind w:firstLine="640" w:firstLineChars="200"/>
        <w:jc w:val="both"/>
        <w:rPr>
          <w:rStyle w:val="28"/>
          <w:rFonts w:ascii="仿宋" w:hAnsi="仿宋" w:cs="仿宋_GB2312"/>
          <w:b w:val="0"/>
          <w:bCs w:val="0"/>
        </w:rPr>
      </w:pPr>
      <w:r>
        <w:rPr>
          <w:rStyle w:val="28"/>
          <w:rFonts w:hint="eastAsia" w:ascii="仿宋" w:hAnsi="仿宋" w:cs="仿宋_GB2312"/>
          <w:b w:val="0"/>
          <w:bCs w:val="0"/>
        </w:rPr>
        <w:t>省、自治区、直辖市人民政府科学技术行政部门应加强对审批和备案等事项的指导。</w:t>
      </w:r>
    </w:p>
    <w:p>
      <w:pPr>
        <w:pStyle w:val="12"/>
        <w:widowControl w:val="0"/>
        <w:adjustRightInd w:val="0"/>
        <w:snapToGrid w:val="0"/>
        <w:spacing w:before="0" w:beforeAutospacing="0" w:after="0" w:afterAutospacing="0" w:line="360" w:lineRule="auto"/>
        <w:ind w:firstLine="643" w:firstLineChars="200"/>
        <w:jc w:val="both"/>
        <w:rPr>
          <w:rStyle w:val="28"/>
          <w:rFonts w:ascii="仿宋" w:hAnsi="仿宋" w:cs="仿宋_GB2312"/>
          <w:b w:val="0"/>
          <w:bCs w:val="0"/>
        </w:rPr>
      </w:pPr>
      <w:bookmarkStart w:id="38" w:name="_Toc2841913"/>
      <w:r>
        <w:rPr>
          <w:rStyle w:val="29"/>
          <w:rFonts w:hint="eastAsia" w:ascii="仿宋" w:hAnsi="仿宋"/>
        </w:rPr>
        <w:t>第三十条</w:t>
      </w:r>
      <w:bookmarkEnd w:id="38"/>
      <w:r>
        <w:rPr>
          <w:rStyle w:val="29"/>
          <w:rFonts w:hint="eastAsia" w:ascii="仿宋" w:hAnsi="仿宋" w:eastAsia="仿宋"/>
          <w:lang w:val="en-US" w:eastAsia="zh-CN"/>
        </w:rPr>
        <w:t xml:space="preserve"> </w:t>
      </w:r>
      <w:r>
        <w:rPr>
          <w:rFonts w:hint="eastAsia" w:ascii="仿宋" w:hAnsi="仿宋" w:eastAsia="仿宋" w:cs="仿宋_GB2312"/>
          <w:sz w:val="32"/>
          <w:szCs w:val="32"/>
        </w:rPr>
        <w:t>国务院科学技术行政部门加强对</w:t>
      </w:r>
      <w:r>
        <w:rPr>
          <w:rStyle w:val="28"/>
          <w:rFonts w:hint="eastAsia" w:ascii="仿宋" w:hAnsi="仿宋" w:cs="仿宋_GB2312"/>
          <w:b w:val="0"/>
          <w:bCs w:val="0"/>
        </w:rPr>
        <w:t>省、自治区、直辖市人民政府科学技术行政部门生物技术</w:t>
      </w:r>
      <w:r>
        <w:rPr>
          <w:rStyle w:val="28"/>
          <w:rFonts w:ascii="仿宋" w:hAnsi="仿宋" w:cs="仿宋_GB2312"/>
          <w:b w:val="0"/>
          <w:bCs w:val="0"/>
        </w:rPr>
        <w:t>研究开发</w:t>
      </w:r>
      <w:r>
        <w:rPr>
          <w:rStyle w:val="28"/>
          <w:rFonts w:hint="eastAsia" w:ascii="仿宋" w:hAnsi="仿宋" w:cs="仿宋_GB2312"/>
          <w:b w:val="0"/>
          <w:bCs w:val="0"/>
        </w:rPr>
        <w:t>安全管理的</w:t>
      </w:r>
      <w:r>
        <w:rPr>
          <w:rStyle w:val="28"/>
          <w:rFonts w:ascii="仿宋" w:hAnsi="仿宋" w:cs="仿宋_GB2312"/>
          <w:b w:val="0"/>
          <w:bCs w:val="0"/>
        </w:rPr>
        <w:t>培训</w:t>
      </w:r>
      <w:r>
        <w:rPr>
          <w:rStyle w:val="28"/>
          <w:rFonts w:hint="eastAsia" w:ascii="仿宋" w:hAnsi="仿宋" w:cs="仿宋_GB2312"/>
          <w:b w:val="0"/>
          <w:bCs w:val="0"/>
        </w:rPr>
        <w:t>和指导</w:t>
      </w:r>
      <w:r>
        <w:rPr>
          <w:rStyle w:val="28"/>
          <w:rFonts w:ascii="仿宋" w:hAnsi="仿宋" w:cs="仿宋_GB2312"/>
          <w:b w:val="0"/>
          <w:bCs w:val="0"/>
        </w:rPr>
        <w:t>。</w:t>
      </w:r>
    </w:p>
    <w:p>
      <w:pPr>
        <w:pStyle w:val="12"/>
        <w:widowControl w:val="0"/>
        <w:adjustRightInd w:val="0"/>
        <w:snapToGrid w:val="0"/>
        <w:spacing w:before="0" w:beforeAutospacing="0" w:after="0" w:afterAutospacing="0" w:line="360" w:lineRule="auto"/>
        <w:ind w:firstLine="640" w:firstLineChars="200"/>
        <w:jc w:val="both"/>
        <w:rPr>
          <w:rStyle w:val="28"/>
          <w:rFonts w:ascii="仿宋" w:hAnsi="仿宋" w:cs="仿宋_GB2312"/>
          <w:b w:val="0"/>
          <w:bCs w:val="0"/>
        </w:rPr>
      </w:pPr>
      <w:r>
        <w:rPr>
          <w:rStyle w:val="28"/>
          <w:rFonts w:hint="eastAsia" w:ascii="仿宋" w:hAnsi="仿宋" w:cs="仿宋_GB2312"/>
          <w:b w:val="0"/>
          <w:bCs w:val="0"/>
        </w:rPr>
        <w:t>省、自治区、直辖市人民政府科学技术行政部门</w:t>
      </w:r>
      <w:r>
        <w:rPr>
          <w:rStyle w:val="28"/>
          <w:rFonts w:ascii="仿宋" w:hAnsi="仿宋" w:cs="仿宋_GB2312"/>
          <w:b w:val="0"/>
          <w:bCs w:val="0"/>
        </w:rPr>
        <w:t>加强对本行政区域</w:t>
      </w:r>
      <w:r>
        <w:rPr>
          <w:rStyle w:val="28"/>
          <w:rFonts w:hint="eastAsia" w:ascii="仿宋" w:hAnsi="仿宋" w:cs="仿宋_GB2312"/>
          <w:b w:val="0"/>
          <w:bCs w:val="0"/>
        </w:rPr>
        <w:t>有关</w:t>
      </w:r>
      <w:r>
        <w:rPr>
          <w:rStyle w:val="28"/>
          <w:rFonts w:ascii="仿宋" w:hAnsi="仿宋" w:cs="仿宋_GB2312"/>
          <w:b w:val="0"/>
          <w:bCs w:val="0"/>
        </w:rPr>
        <w:t>单位和人员</w:t>
      </w:r>
      <w:r>
        <w:rPr>
          <w:rStyle w:val="28"/>
          <w:rFonts w:hint="eastAsia" w:ascii="仿宋" w:hAnsi="仿宋" w:cs="仿宋_GB2312"/>
          <w:b w:val="0"/>
          <w:bCs w:val="0"/>
        </w:rPr>
        <w:t>生物技术</w:t>
      </w:r>
      <w:r>
        <w:rPr>
          <w:rStyle w:val="28"/>
          <w:rFonts w:ascii="仿宋" w:hAnsi="仿宋" w:cs="仿宋_GB2312"/>
          <w:b w:val="0"/>
          <w:bCs w:val="0"/>
        </w:rPr>
        <w:t>研究开发</w:t>
      </w:r>
      <w:r>
        <w:rPr>
          <w:rStyle w:val="28"/>
          <w:rFonts w:hint="eastAsia" w:ascii="仿宋" w:hAnsi="仿宋" w:cs="仿宋_GB2312"/>
          <w:b w:val="0"/>
          <w:bCs w:val="0"/>
        </w:rPr>
        <w:t>安全管理的</w:t>
      </w:r>
      <w:r>
        <w:rPr>
          <w:rStyle w:val="28"/>
          <w:rFonts w:ascii="仿宋" w:hAnsi="仿宋" w:cs="仿宋_GB2312"/>
          <w:b w:val="0"/>
          <w:bCs w:val="0"/>
        </w:rPr>
        <w:t>培训</w:t>
      </w:r>
      <w:r>
        <w:rPr>
          <w:rStyle w:val="28"/>
          <w:rFonts w:hint="eastAsia" w:ascii="仿宋" w:hAnsi="仿宋" w:cs="仿宋_GB2312"/>
          <w:b w:val="0"/>
          <w:bCs w:val="0"/>
        </w:rPr>
        <w:t>和指导</w:t>
      </w:r>
      <w:r>
        <w:rPr>
          <w:rStyle w:val="28"/>
          <w:rFonts w:ascii="仿宋" w:hAnsi="仿宋" w:cs="仿宋_GB2312"/>
          <w:b w:val="0"/>
          <w:bCs w:val="0"/>
        </w:rPr>
        <w:t>。</w:t>
      </w:r>
    </w:p>
    <w:bookmarkEnd w:id="35"/>
    <w:p>
      <w:pPr>
        <w:pStyle w:val="12"/>
        <w:widowControl w:val="0"/>
        <w:adjustRightInd w:val="0"/>
        <w:snapToGrid w:val="0"/>
        <w:spacing w:before="0" w:beforeAutospacing="0" w:after="0" w:afterAutospacing="0" w:line="360" w:lineRule="auto"/>
        <w:ind w:firstLine="643" w:firstLineChars="200"/>
        <w:jc w:val="both"/>
        <w:rPr>
          <w:rFonts w:ascii="仿宋" w:hAnsi="仿宋" w:eastAsia="仿宋" w:cs="仿宋_GB2312"/>
          <w:sz w:val="32"/>
          <w:szCs w:val="32"/>
        </w:rPr>
      </w:pPr>
      <w:bookmarkStart w:id="39" w:name="_Toc2841914"/>
      <w:r>
        <w:rPr>
          <w:rStyle w:val="29"/>
          <w:rFonts w:hint="eastAsia" w:ascii="仿宋" w:hAnsi="仿宋"/>
        </w:rPr>
        <w:t>第三十一条</w:t>
      </w:r>
      <w:bookmarkEnd w:id="39"/>
      <w:r>
        <w:rPr>
          <w:rStyle w:val="29"/>
          <w:rFonts w:hint="eastAsia" w:ascii="仿宋" w:hAnsi="仿宋" w:eastAsia="仿宋"/>
          <w:lang w:val="en-US" w:eastAsia="zh-CN"/>
        </w:rPr>
        <w:t xml:space="preserve"> </w:t>
      </w:r>
      <w:r>
        <w:rPr>
          <w:rFonts w:hint="eastAsia" w:ascii="仿宋" w:hAnsi="仿宋" w:eastAsia="仿宋" w:cs="仿宋_GB2312"/>
          <w:sz w:val="32"/>
          <w:szCs w:val="32"/>
        </w:rPr>
        <w:t>国务院科学技术行政部门和省、自治区、直辖市人民政府科学技术行政部门应加强对生物技术研究开发活动的监督检查，建立健全定期检查、随机抽查和专项检查等监督检查机制。</w:t>
      </w:r>
    </w:p>
    <w:p>
      <w:pPr>
        <w:pStyle w:val="12"/>
        <w:widowControl w:val="0"/>
        <w:adjustRightInd w:val="0"/>
        <w:snapToGrid w:val="0"/>
        <w:spacing w:before="0" w:beforeAutospacing="0" w:after="0" w:afterAutospacing="0" w:line="360" w:lineRule="auto"/>
        <w:ind w:firstLine="643" w:firstLineChars="200"/>
        <w:jc w:val="both"/>
        <w:rPr>
          <w:rFonts w:ascii="仿宋" w:hAnsi="仿宋" w:eastAsia="仿宋" w:cs="仿宋_GB2312"/>
          <w:sz w:val="32"/>
          <w:szCs w:val="32"/>
        </w:rPr>
      </w:pPr>
      <w:bookmarkStart w:id="40" w:name="_Toc2841915"/>
      <w:r>
        <w:rPr>
          <w:rStyle w:val="29"/>
          <w:rFonts w:hint="eastAsia" w:ascii="仿宋" w:hAnsi="仿宋" w:cs="仿宋_GB2312"/>
        </w:rPr>
        <w:t>第三十二条</w:t>
      </w:r>
      <w:bookmarkEnd w:id="40"/>
      <w:r>
        <w:rPr>
          <w:rStyle w:val="29"/>
          <w:rFonts w:hint="eastAsia" w:ascii="仿宋" w:hAnsi="仿宋" w:eastAsia="仿宋" w:cs="仿宋_GB2312"/>
          <w:lang w:val="en-US" w:eastAsia="zh-CN"/>
        </w:rPr>
        <w:t xml:space="preserve"> </w:t>
      </w:r>
      <w:r>
        <w:rPr>
          <w:rFonts w:hint="eastAsia" w:ascii="仿宋" w:hAnsi="仿宋" w:eastAsia="仿宋" w:cs="仿宋_GB2312"/>
          <w:sz w:val="32"/>
          <w:szCs w:val="32"/>
        </w:rPr>
        <w:t>国务院科学技术行政部门和省、自治区、直辖市人民政府科学技术行政部门履行监督检查职责时，可以联合有关部门采取下列措施：</w:t>
      </w:r>
    </w:p>
    <w:p>
      <w:pPr>
        <w:pStyle w:val="24"/>
        <w:adjustRightInd w:val="0"/>
        <w:snapToGrid w:val="0"/>
        <w:spacing w:line="360" w:lineRule="auto"/>
        <w:ind w:firstLine="640"/>
        <w:rPr>
          <w:rFonts w:ascii="仿宋" w:hAnsi="仿宋" w:cs="仿宋_GB2312"/>
          <w:szCs w:val="32"/>
        </w:rPr>
      </w:pPr>
      <w:r>
        <w:rPr>
          <w:rFonts w:hint="eastAsia" w:ascii="仿宋" w:hAnsi="仿宋" w:cs="仿宋_GB2312"/>
          <w:szCs w:val="32"/>
        </w:rPr>
        <w:t>（一）进入现场检查；</w:t>
      </w:r>
    </w:p>
    <w:p>
      <w:pPr>
        <w:pStyle w:val="24"/>
        <w:adjustRightInd w:val="0"/>
        <w:snapToGrid w:val="0"/>
        <w:spacing w:line="360" w:lineRule="auto"/>
        <w:ind w:firstLine="640"/>
        <w:rPr>
          <w:rFonts w:ascii="仿宋" w:hAnsi="仿宋" w:cs="仿宋_GB2312"/>
          <w:szCs w:val="32"/>
        </w:rPr>
      </w:pPr>
      <w:r>
        <w:rPr>
          <w:rFonts w:hint="eastAsia" w:ascii="仿宋" w:hAnsi="仿宋" w:cs="仿宋_GB2312"/>
          <w:szCs w:val="32"/>
        </w:rPr>
        <w:t>（二）询问相关人员；</w:t>
      </w:r>
    </w:p>
    <w:p>
      <w:pPr>
        <w:pStyle w:val="24"/>
        <w:adjustRightInd w:val="0"/>
        <w:snapToGrid w:val="0"/>
        <w:spacing w:line="360" w:lineRule="auto"/>
        <w:ind w:left="640" w:firstLine="0" w:firstLineChars="0"/>
        <w:rPr>
          <w:rFonts w:ascii="仿宋" w:hAnsi="仿宋" w:cs="仿宋_GB2312"/>
          <w:szCs w:val="32"/>
        </w:rPr>
      </w:pPr>
      <w:r>
        <w:rPr>
          <w:rFonts w:hint="eastAsia" w:ascii="仿宋" w:hAnsi="仿宋" w:cs="仿宋_GB2312"/>
          <w:szCs w:val="32"/>
        </w:rPr>
        <w:t>（三）查阅、复制有关材料；</w:t>
      </w:r>
    </w:p>
    <w:p>
      <w:pPr>
        <w:pStyle w:val="24"/>
        <w:adjustRightInd w:val="0"/>
        <w:snapToGrid w:val="0"/>
        <w:spacing w:line="360" w:lineRule="auto"/>
        <w:ind w:firstLine="640"/>
        <w:rPr>
          <w:rFonts w:ascii="仿宋" w:hAnsi="仿宋" w:cs="仿宋_GB2312"/>
          <w:szCs w:val="32"/>
        </w:rPr>
      </w:pPr>
      <w:r>
        <w:rPr>
          <w:rFonts w:hint="eastAsia" w:ascii="仿宋" w:hAnsi="仿宋" w:cs="仿宋_GB2312"/>
          <w:szCs w:val="32"/>
        </w:rPr>
        <w:t>（四）查封或者扣押有关设施、设备及物品；</w:t>
      </w:r>
    </w:p>
    <w:p>
      <w:pPr>
        <w:pStyle w:val="24"/>
        <w:adjustRightInd w:val="0"/>
        <w:snapToGrid w:val="0"/>
        <w:spacing w:line="360" w:lineRule="auto"/>
        <w:ind w:firstLine="640"/>
        <w:rPr>
          <w:rFonts w:ascii="仿宋" w:hAnsi="仿宋" w:cs="仿宋_GB2312"/>
          <w:szCs w:val="32"/>
        </w:rPr>
      </w:pPr>
      <w:r>
        <w:rPr>
          <w:rFonts w:hint="eastAsia" w:ascii="仿宋" w:hAnsi="仿宋" w:cs="仿宋_GB2312"/>
          <w:szCs w:val="32"/>
        </w:rPr>
        <w:t>（五）查封违法开展生物技术研究开发活动的场所。</w:t>
      </w:r>
    </w:p>
    <w:p>
      <w:pPr>
        <w:pStyle w:val="12"/>
        <w:adjustRightInd w:val="0"/>
        <w:snapToGrid w:val="0"/>
        <w:spacing w:before="0" w:beforeAutospacing="0" w:after="0" w:afterAutospacing="0" w:line="360" w:lineRule="auto"/>
        <w:ind w:firstLine="643" w:firstLineChars="200"/>
        <w:jc w:val="both"/>
        <w:rPr>
          <w:rStyle w:val="28"/>
          <w:rFonts w:ascii="仿宋" w:hAnsi="仿宋" w:cs="仿宋_GB2312"/>
          <w:b w:val="0"/>
          <w:bCs w:val="0"/>
        </w:rPr>
      </w:pPr>
      <w:bookmarkStart w:id="41" w:name="_Toc2841916"/>
      <w:r>
        <w:rPr>
          <w:rStyle w:val="29"/>
          <w:rFonts w:hint="eastAsia" w:ascii="仿宋" w:hAnsi="仿宋"/>
        </w:rPr>
        <w:t>第三十三条</w:t>
      </w:r>
      <w:bookmarkEnd w:id="41"/>
      <w:r>
        <w:rPr>
          <w:rStyle w:val="29"/>
          <w:rFonts w:hint="eastAsia" w:ascii="仿宋" w:hAnsi="仿宋" w:eastAsia="仿宋"/>
          <w:lang w:val="en-US" w:eastAsia="zh-CN"/>
        </w:rPr>
        <w:t xml:space="preserve"> </w:t>
      </w:r>
      <w:r>
        <w:rPr>
          <w:rStyle w:val="28"/>
          <w:rFonts w:hint="eastAsia" w:ascii="仿宋" w:hAnsi="仿宋" w:cs="仿宋_GB2312"/>
          <w:b w:val="0"/>
          <w:bCs w:val="0"/>
        </w:rPr>
        <w:t>省、自治区、直辖市人民政府科学技术行政部门应将本行政区域开展高风险研究开发活动情况和</w:t>
      </w:r>
      <w:r>
        <w:rPr>
          <w:rStyle w:val="28"/>
          <w:rFonts w:ascii="仿宋" w:hAnsi="仿宋" w:cs="仿宋_GB2312"/>
          <w:b w:val="0"/>
          <w:bCs w:val="0"/>
        </w:rPr>
        <w:t>监督</w:t>
      </w:r>
      <w:r>
        <w:rPr>
          <w:rStyle w:val="28"/>
          <w:rFonts w:hint="eastAsia" w:ascii="仿宋" w:hAnsi="仿宋" w:cs="仿宋_GB2312"/>
          <w:b w:val="0"/>
          <w:bCs w:val="0"/>
        </w:rPr>
        <w:t>检查</w:t>
      </w:r>
      <w:r>
        <w:rPr>
          <w:rStyle w:val="28"/>
          <w:rFonts w:ascii="仿宋" w:hAnsi="仿宋" w:cs="仿宋_GB2312"/>
          <w:b w:val="0"/>
          <w:bCs w:val="0"/>
        </w:rPr>
        <w:t>情况</w:t>
      </w:r>
      <w:r>
        <w:rPr>
          <w:rStyle w:val="28"/>
          <w:rFonts w:hint="eastAsia" w:ascii="仿宋" w:hAnsi="仿宋" w:cs="仿宋_GB2312"/>
          <w:b w:val="0"/>
          <w:bCs w:val="0"/>
        </w:rPr>
        <w:t>形成年度报告报送国务院科学技术行政部门。</w:t>
      </w:r>
    </w:p>
    <w:p>
      <w:pPr>
        <w:pStyle w:val="12"/>
        <w:adjustRightInd w:val="0"/>
        <w:snapToGrid w:val="0"/>
        <w:spacing w:before="0" w:beforeAutospacing="0" w:after="0" w:afterAutospacing="0" w:line="360" w:lineRule="auto"/>
        <w:ind w:firstLine="640" w:firstLineChars="200"/>
        <w:jc w:val="both"/>
        <w:rPr>
          <w:rStyle w:val="28"/>
          <w:rFonts w:ascii="仿宋" w:hAnsi="仿宋" w:cs="仿宋_GB2312"/>
          <w:b w:val="0"/>
          <w:bCs w:val="0"/>
        </w:rPr>
      </w:pPr>
      <w:r>
        <w:rPr>
          <w:rFonts w:hint="eastAsia" w:ascii="仿宋" w:hAnsi="仿宋" w:eastAsia="仿宋" w:cs="仿宋_GB2312"/>
          <w:sz w:val="32"/>
          <w:szCs w:val="32"/>
        </w:rPr>
        <w:t>开展生物技术研究开发活动的单位，应就开展的高风险生物技术研究开发活动内容、人员、进展和风险消减计划执行情况等，向所在地省、自治区、直辖市人民政府科学技术行政部门提交年度报告。</w:t>
      </w:r>
    </w:p>
    <w:p>
      <w:pPr>
        <w:pStyle w:val="12"/>
        <w:widowControl w:val="0"/>
        <w:adjustRightInd w:val="0"/>
        <w:snapToGrid w:val="0"/>
        <w:spacing w:before="0" w:beforeAutospacing="0" w:after="0" w:afterAutospacing="0" w:line="360" w:lineRule="auto"/>
        <w:ind w:firstLine="643" w:firstLineChars="200"/>
        <w:jc w:val="both"/>
        <w:rPr>
          <w:rStyle w:val="28"/>
          <w:rFonts w:ascii="仿宋" w:hAnsi="仿宋" w:cs="仿宋_GB2312"/>
          <w:b w:val="0"/>
          <w:bCs w:val="0"/>
        </w:rPr>
      </w:pPr>
      <w:bookmarkStart w:id="42" w:name="_Toc2841917"/>
      <w:r>
        <w:rPr>
          <w:rStyle w:val="29"/>
          <w:rFonts w:hint="eastAsia" w:ascii="仿宋" w:hAnsi="仿宋"/>
        </w:rPr>
        <w:t>第三十四条</w:t>
      </w:r>
      <w:bookmarkEnd w:id="42"/>
      <w:r>
        <w:rPr>
          <w:rStyle w:val="29"/>
          <w:rFonts w:hint="eastAsia" w:ascii="仿宋" w:hAnsi="仿宋" w:eastAsia="仿宋"/>
          <w:lang w:val="en-US" w:eastAsia="zh-CN"/>
        </w:rPr>
        <w:t xml:space="preserve"> </w:t>
      </w:r>
      <w:r>
        <w:rPr>
          <w:rFonts w:hint="eastAsia" w:ascii="仿宋" w:hAnsi="仿宋" w:eastAsia="仿宋" w:cs="仿宋_GB2312"/>
          <w:sz w:val="32"/>
          <w:szCs w:val="32"/>
        </w:rPr>
        <w:t>任何机构、</w:t>
      </w:r>
      <w:r>
        <w:rPr>
          <w:rFonts w:ascii="仿宋" w:hAnsi="仿宋" w:eastAsia="仿宋" w:cs="仿宋_GB2312"/>
          <w:sz w:val="32"/>
          <w:szCs w:val="32"/>
        </w:rPr>
        <w:t>组织</w:t>
      </w:r>
      <w:r>
        <w:rPr>
          <w:rFonts w:hint="eastAsia" w:ascii="仿宋" w:hAnsi="仿宋" w:eastAsia="仿宋" w:cs="仿宋_GB2312"/>
          <w:sz w:val="32"/>
          <w:szCs w:val="32"/>
        </w:rPr>
        <w:t>和个人不得资助禁止类生物技术研究开发活动和审批未通过的高风险生物技术研究开发活动。</w:t>
      </w:r>
    </w:p>
    <w:p>
      <w:pPr>
        <w:shd w:val="clear" w:color="auto" w:fill="FFFFFF"/>
        <w:adjustRightInd w:val="0"/>
        <w:snapToGrid w:val="0"/>
        <w:spacing w:line="360" w:lineRule="auto"/>
        <w:ind w:firstLine="643" w:firstLineChars="200"/>
        <w:jc w:val="left"/>
        <w:rPr>
          <w:rFonts w:ascii="仿宋" w:hAnsi="仿宋" w:cs="仿宋_GB2312"/>
          <w:szCs w:val="32"/>
        </w:rPr>
      </w:pPr>
      <w:bookmarkStart w:id="43" w:name="_Toc2841918"/>
      <w:r>
        <w:rPr>
          <w:rStyle w:val="29"/>
          <w:rFonts w:hint="eastAsia" w:ascii="仿宋" w:hAnsi="仿宋"/>
        </w:rPr>
        <w:t>第三十五条</w:t>
      </w:r>
      <w:bookmarkEnd w:id="43"/>
      <w:r>
        <w:rPr>
          <w:rStyle w:val="29"/>
          <w:rFonts w:hint="eastAsia" w:ascii="仿宋" w:hAnsi="仿宋"/>
          <w:lang w:val="en-US" w:eastAsia="zh-CN"/>
        </w:rPr>
        <w:t xml:space="preserve"> </w:t>
      </w:r>
      <w:r>
        <w:rPr>
          <w:rFonts w:hint="eastAsia" w:ascii="仿宋" w:hAnsi="仿宋" w:cs="仿宋_GB2312"/>
        </w:rPr>
        <w:t>生物技术学术和行业组织应加强自律，建立健全规范，推动诚信体系建设，引导、督促单位和人员依法开展生物技术研究开发活动。</w:t>
      </w:r>
    </w:p>
    <w:p>
      <w:pPr>
        <w:pStyle w:val="12"/>
        <w:widowControl w:val="0"/>
        <w:adjustRightInd w:val="0"/>
        <w:snapToGrid w:val="0"/>
        <w:spacing w:before="0" w:beforeAutospacing="0" w:after="0" w:afterAutospacing="0" w:line="360" w:lineRule="auto"/>
        <w:ind w:firstLine="643" w:firstLineChars="200"/>
        <w:jc w:val="both"/>
        <w:rPr>
          <w:rStyle w:val="28"/>
          <w:rFonts w:ascii="仿宋" w:hAnsi="仿宋" w:cs="仿宋_GB2312"/>
          <w:b w:val="0"/>
          <w:bCs w:val="0"/>
        </w:rPr>
      </w:pPr>
      <w:bookmarkStart w:id="44" w:name="_Toc2841919"/>
      <w:r>
        <w:rPr>
          <w:rStyle w:val="29"/>
          <w:rFonts w:hint="eastAsia" w:ascii="仿宋" w:hAnsi="仿宋"/>
        </w:rPr>
        <w:t>第三十六条</w:t>
      </w:r>
      <w:bookmarkEnd w:id="44"/>
      <w:r>
        <w:rPr>
          <w:rStyle w:val="29"/>
          <w:rFonts w:hint="eastAsia" w:ascii="仿宋" w:hAnsi="仿宋" w:eastAsia="仿宋"/>
          <w:lang w:val="en-US" w:eastAsia="zh-CN"/>
        </w:rPr>
        <w:t xml:space="preserve"> </w:t>
      </w:r>
      <w:r>
        <w:rPr>
          <w:rFonts w:hint="eastAsia" w:ascii="仿宋" w:hAnsi="仿宋" w:eastAsia="仿宋" w:cs="仿宋_GB2312"/>
          <w:sz w:val="32"/>
          <w:szCs w:val="32"/>
        </w:rPr>
        <w:t>国务院科学技术行政部门和省、自治区、直辖市人民政府科学技术行政部门应公布投诉、举报电话和电子邮件地址，接受相关投诉、举报。对查证属实的，给予举报人奖励。</w:t>
      </w:r>
    </w:p>
    <w:p>
      <w:pPr>
        <w:pStyle w:val="2"/>
        <w:keepNext w:val="0"/>
        <w:keepLines w:val="0"/>
        <w:adjustRightInd w:val="0"/>
        <w:snapToGrid w:val="0"/>
        <w:spacing w:before="312" w:beforeLines="100" w:after="312" w:afterLines="100" w:line="360" w:lineRule="auto"/>
        <w:jc w:val="center"/>
        <w:rPr>
          <w:rFonts w:ascii="仿宋" w:hAnsi="仿宋"/>
        </w:rPr>
      </w:pPr>
      <w:bookmarkStart w:id="45" w:name="_Toc2841920"/>
      <w:r>
        <w:rPr>
          <w:rFonts w:hint="eastAsia" w:ascii="仿宋" w:hAnsi="仿宋"/>
        </w:rPr>
        <w:t>第五章　法律责任</w:t>
      </w:r>
      <w:bookmarkEnd w:id="45"/>
    </w:p>
    <w:p>
      <w:pPr>
        <w:pStyle w:val="12"/>
        <w:widowControl w:val="0"/>
        <w:adjustRightInd w:val="0"/>
        <w:snapToGrid w:val="0"/>
        <w:spacing w:before="0" w:beforeAutospacing="0" w:after="0" w:afterAutospacing="0" w:line="360" w:lineRule="auto"/>
        <w:ind w:firstLine="643" w:firstLineChars="200"/>
        <w:jc w:val="both"/>
        <w:rPr>
          <w:rFonts w:ascii="仿宋" w:hAnsi="仿宋" w:eastAsia="仿宋" w:cs="仿宋_GB2312"/>
          <w:sz w:val="32"/>
          <w:szCs w:val="32"/>
        </w:rPr>
      </w:pPr>
      <w:bookmarkStart w:id="46" w:name="_Toc535921835"/>
      <w:bookmarkStart w:id="47" w:name="_Toc2841921"/>
      <w:bookmarkStart w:id="48" w:name="_Toc535921834"/>
      <w:r>
        <w:rPr>
          <w:rStyle w:val="29"/>
          <w:rFonts w:hint="eastAsia" w:ascii="仿宋" w:hAnsi="仿宋"/>
        </w:rPr>
        <w:t>第三十七条</w:t>
      </w:r>
      <w:bookmarkEnd w:id="46"/>
      <w:bookmarkEnd w:id="47"/>
      <w:r>
        <w:rPr>
          <w:rStyle w:val="29"/>
          <w:rFonts w:hint="eastAsia" w:ascii="仿宋" w:hAnsi="仿宋" w:eastAsia="仿宋"/>
          <w:lang w:val="en-US" w:eastAsia="zh-CN"/>
        </w:rPr>
        <w:t xml:space="preserve"> </w:t>
      </w:r>
      <w:r>
        <w:rPr>
          <w:rFonts w:hint="eastAsia" w:ascii="仿宋" w:hAnsi="仿宋" w:eastAsia="仿宋" w:cs="仿宋_GB2312"/>
          <w:sz w:val="32"/>
          <w:szCs w:val="32"/>
        </w:rPr>
        <w:t>违反本条例第六</w:t>
      </w:r>
      <w:r>
        <w:rPr>
          <w:rFonts w:ascii="仿宋" w:hAnsi="仿宋" w:eastAsia="仿宋" w:cs="仿宋_GB2312"/>
          <w:sz w:val="32"/>
          <w:szCs w:val="32"/>
        </w:rPr>
        <w:t>条</w:t>
      </w:r>
      <w:r>
        <w:rPr>
          <w:rFonts w:hint="eastAsia" w:ascii="仿宋" w:hAnsi="仿宋" w:eastAsia="仿宋" w:cs="仿宋_GB2312"/>
          <w:sz w:val="32"/>
          <w:szCs w:val="32"/>
        </w:rPr>
        <w:t>规定，开展国家禁止类生物技术研究开发活动的单位，由国务院科学技术行政部门责令停止违法行为，没收违法所得，处</w:t>
      </w:r>
      <w:r>
        <w:rPr>
          <w:rFonts w:ascii="仿宋" w:hAnsi="仿宋" w:eastAsia="仿宋" w:cs="仿宋_GB2312"/>
          <w:sz w:val="32"/>
          <w:szCs w:val="32"/>
        </w:rPr>
        <w:t>100</w:t>
      </w:r>
      <w:r>
        <w:rPr>
          <w:rFonts w:hint="eastAsia" w:ascii="仿宋" w:hAnsi="仿宋" w:eastAsia="仿宋" w:cs="仿宋_GB2312"/>
          <w:sz w:val="32"/>
          <w:szCs w:val="32"/>
        </w:rPr>
        <w:t>万元以上</w:t>
      </w:r>
      <w:r>
        <w:rPr>
          <w:rFonts w:ascii="仿宋" w:hAnsi="仿宋" w:eastAsia="仿宋" w:cs="仿宋_GB2312"/>
          <w:sz w:val="32"/>
          <w:szCs w:val="32"/>
        </w:rPr>
        <w:t>10</w:t>
      </w:r>
      <w:r>
        <w:rPr>
          <w:rFonts w:hint="eastAsia" w:ascii="仿宋" w:hAnsi="仿宋" w:eastAsia="仿宋" w:cs="仿宋_GB2312"/>
          <w:sz w:val="32"/>
          <w:szCs w:val="32"/>
        </w:rPr>
        <w:t>00万元以下罚款，违法所得在1</w:t>
      </w:r>
      <w:r>
        <w:rPr>
          <w:rFonts w:ascii="仿宋" w:hAnsi="仿宋" w:eastAsia="仿宋" w:cs="仿宋_GB2312"/>
          <w:sz w:val="32"/>
          <w:szCs w:val="32"/>
        </w:rPr>
        <w:t>00</w:t>
      </w:r>
      <w:r>
        <w:rPr>
          <w:rFonts w:hint="eastAsia" w:ascii="仿宋" w:hAnsi="仿宋" w:eastAsia="仿宋" w:cs="仿宋_GB2312"/>
          <w:sz w:val="32"/>
          <w:szCs w:val="32"/>
        </w:rPr>
        <w:t>万</w:t>
      </w:r>
      <w:r>
        <w:rPr>
          <w:rFonts w:ascii="仿宋" w:hAnsi="仿宋" w:eastAsia="仿宋" w:cs="仿宋_GB2312"/>
          <w:sz w:val="32"/>
          <w:szCs w:val="32"/>
        </w:rPr>
        <w:t>元</w:t>
      </w:r>
      <w:r>
        <w:rPr>
          <w:rFonts w:hint="eastAsia" w:ascii="仿宋" w:hAnsi="仿宋" w:eastAsia="仿宋" w:cs="仿宋_GB2312"/>
          <w:sz w:val="32"/>
          <w:szCs w:val="32"/>
        </w:rPr>
        <w:t>以上</w:t>
      </w:r>
      <w:r>
        <w:rPr>
          <w:rFonts w:ascii="仿宋" w:hAnsi="仿宋" w:eastAsia="仿宋" w:cs="仿宋_GB2312"/>
          <w:sz w:val="32"/>
          <w:szCs w:val="32"/>
        </w:rPr>
        <w:t>的，</w:t>
      </w:r>
      <w:r>
        <w:rPr>
          <w:rFonts w:hint="eastAsia" w:ascii="仿宋" w:hAnsi="仿宋" w:eastAsia="仿宋" w:cs="仿宋_GB2312"/>
          <w:sz w:val="32"/>
          <w:szCs w:val="32"/>
        </w:rPr>
        <w:t>处违法所得</w:t>
      </w:r>
      <w:r>
        <w:rPr>
          <w:rFonts w:ascii="仿宋" w:hAnsi="仿宋" w:eastAsia="仿宋" w:cs="仿宋_GB2312"/>
          <w:sz w:val="32"/>
          <w:szCs w:val="32"/>
        </w:rPr>
        <w:t>5</w:t>
      </w:r>
      <w:r>
        <w:rPr>
          <w:rFonts w:hint="eastAsia" w:ascii="仿宋" w:hAnsi="仿宋" w:eastAsia="仿宋" w:cs="仿宋_GB2312"/>
          <w:sz w:val="32"/>
          <w:szCs w:val="32"/>
        </w:rPr>
        <w:t>倍以上10倍以下罚款，永久禁止其开展生物技术研究开发活动。</w:t>
      </w:r>
    </w:p>
    <w:p>
      <w:pPr>
        <w:pStyle w:val="12"/>
        <w:widowControl w:val="0"/>
        <w:adjustRightInd w:val="0"/>
        <w:snapToGrid w:val="0"/>
        <w:spacing w:before="0" w:beforeAutospacing="0" w:after="0" w:afterAutospacing="0" w:line="360" w:lineRule="auto"/>
        <w:ind w:firstLine="643" w:firstLineChars="200"/>
        <w:jc w:val="both"/>
        <w:rPr>
          <w:rFonts w:ascii="仿宋" w:hAnsi="仿宋" w:eastAsia="仿宋" w:cs="仿宋_GB2312"/>
          <w:sz w:val="32"/>
          <w:szCs w:val="32"/>
        </w:rPr>
      </w:pPr>
      <w:bookmarkStart w:id="49" w:name="_Toc2841922"/>
      <w:bookmarkStart w:id="50" w:name="_Toc535921837"/>
      <w:r>
        <w:rPr>
          <w:rStyle w:val="29"/>
          <w:rFonts w:hint="eastAsia" w:ascii="仿宋" w:hAnsi="仿宋"/>
        </w:rPr>
        <w:t>第三十八条</w:t>
      </w:r>
      <w:bookmarkEnd w:id="49"/>
      <w:r>
        <w:rPr>
          <w:rStyle w:val="29"/>
          <w:rFonts w:hint="eastAsia" w:ascii="仿宋" w:hAnsi="仿宋" w:eastAsia="仿宋"/>
          <w:lang w:val="en-US" w:eastAsia="zh-CN"/>
        </w:rPr>
        <w:t xml:space="preserve"> </w:t>
      </w:r>
      <w:r>
        <w:rPr>
          <w:rFonts w:hint="eastAsia" w:ascii="仿宋" w:hAnsi="仿宋" w:eastAsia="仿宋" w:cs="仿宋_GB2312"/>
          <w:sz w:val="32"/>
          <w:szCs w:val="32"/>
        </w:rPr>
        <w:t>违反本条例第十三条规定，未经</w:t>
      </w:r>
      <w:r>
        <w:rPr>
          <w:rFonts w:ascii="仿宋" w:hAnsi="仿宋" w:eastAsia="仿宋" w:cs="仿宋_GB2312"/>
          <w:sz w:val="32"/>
          <w:szCs w:val="32"/>
        </w:rPr>
        <w:t>批准</w:t>
      </w:r>
      <w:r>
        <w:rPr>
          <w:rFonts w:hint="eastAsia" w:ascii="仿宋" w:hAnsi="仿宋" w:eastAsia="仿宋" w:cs="仿宋_GB2312"/>
          <w:sz w:val="32"/>
          <w:szCs w:val="32"/>
        </w:rPr>
        <w:t>开展高风险生物技术研究开发活动的单位，由省、自治区、直辖市人民政府科学技术行政部门责令停止违法行为，没收违法所得，处</w:t>
      </w:r>
      <w:r>
        <w:rPr>
          <w:rFonts w:ascii="仿宋" w:hAnsi="仿宋" w:eastAsia="仿宋" w:cs="仿宋_GB2312"/>
          <w:sz w:val="32"/>
          <w:szCs w:val="32"/>
        </w:rPr>
        <w:t>5</w:t>
      </w:r>
      <w:r>
        <w:rPr>
          <w:rFonts w:hint="eastAsia" w:ascii="仿宋" w:hAnsi="仿宋" w:eastAsia="仿宋" w:cs="仿宋_GB2312"/>
          <w:sz w:val="32"/>
          <w:szCs w:val="32"/>
        </w:rPr>
        <w:t>0万元以上</w:t>
      </w:r>
      <w:r>
        <w:rPr>
          <w:rFonts w:ascii="仿宋" w:hAnsi="仿宋" w:eastAsia="仿宋" w:cs="仿宋_GB2312"/>
          <w:sz w:val="32"/>
          <w:szCs w:val="32"/>
        </w:rPr>
        <w:t>5</w:t>
      </w:r>
      <w:r>
        <w:rPr>
          <w:rFonts w:hint="eastAsia" w:ascii="仿宋" w:hAnsi="仿宋" w:eastAsia="仿宋" w:cs="仿宋_GB2312"/>
          <w:sz w:val="32"/>
          <w:szCs w:val="32"/>
        </w:rPr>
        <w:t>00万元以下罚款，违法所得</w:t>
      </w:r>
      <w:r>
        <w:rPr>
          <w:rFonts w:ascii="仿宋" w:hAnsi="仿宋" w:eastAsia="仿宋" w:cs="仿宋_GB2312"/>
          <w:sz w:val="32"/>
          <w:szCs w:val="32"/>
        </w:rPr>
        <w:t>100</w:t>
      </w:r>
      <w:r>
        <w:rPr>
          <w:rFonts w:hint="eastAsia" w:ascii="仿宋" w:hAnsi="仿宋" w:eastAsia="仿宋" w:cs="仿宋_GB2312"/>
          <w:sz w:val="32"/>
          <w:szCs w:val="32"/>
        </w:rPr>
        <w:t>万</w:t>
      </w:r>
      <w:r>
        <w:rPr>
          <w:rFonts w:ascii="仿宋" w:hAnsi="仿宋" w:eastAsia="仿宋" w:cs="仿宋_GB2312"/>
          <w:sz w:val="32"/>
          <w:szCs w:val="32"/>
        </w:rPr>
        <w:t>元</w:t>
      </w:r>
      <w:r>
        <w:rPr>
          <w:rFonts w:hint="eastAsia" w:ascii="仿宋" w:hAnsi="仿宋" w:eastAsia="仿宋" w:cs="仿宋_GB2312"/>
          <w:sz w:val="32"/>
          <w:szCs w:val="32"/>
        </w:rPr>
        <w:t>以上</w:t>
      </w:r>
      <w:r>
        <w:rPr>
          <w:rFonts w:ascii="仿宋" w:hAnsi="仿宋" w:eastAsia="仿宋" w:cs="仿宋_GB2312"/>
          <w:sz w:val="32"/>
          <w:szCs w:val="32"/>
        </w:rPr>
        <w:t>的，</w:t>
      </w:r>
      <w:r>
        <w:rPr>
          <w:rFonts w:hint="eastAsia" w:ascii="仿宋" w:hAnsi="仿宋" w:eastAsia="仿宋" w:cs="仿宋_GB2312"/>
          <w:sz w:val="32"/>
          <w:szCs w:val="32"/>
        </w:rPr>
        <w:t>处违法所得</w:t>
      </w:r>
      <w:r>
        <w:rPr>
          <w:rFonts w:ascii="仿宋" w:hAnsi="仿宋" w:eastAsia="仿宋" w:cs="仿宋_GB2312"/>
          <w:sz w:val="32"/>
          <w:szCs w:val="32"/>
        </w:rPr>
        <w:t>5</w:t>
      </w:r>
      <w:r>
        <w:rPr>
          <w:rFonts w:hint="eastAsia" w:ascii="仿宋" w:hAnsi="仿宋" w:eastAsia="仿宋" w:cs="仿宋_GB2312"/>
          <w:sz w:val="32"/>
          <w:szCs w:val="32"/>
        </w:rPr>
        <w:t>倍以上10倍以下罚款，禁止其1至2年内开展生物技术研究开发活动；情节严重的，禁止其3至5年内开展生物技术研究开发活动；情节特别严重的，永久禁止其开展生物技术研究开发活动。</w:t>
      </w:r>
    </w:p>
    <w:bookmarkEnd w:id="50"/>
    <w:p>
      <w:pPr>
        <w:pStyle w:val="12"/>
        <w:widowControl w:val="0"/>
        <w:adjustRightInd w:val="0"/>
        <w:snapToGrid w:val="0"/>
        <w:spacing w:before="0" w:beforeAutospacing="0" w:after="0" w:afterAutospacing="0" w:line="360" w:lineRule="auto"/>
        <w:ind w:firstLine="643" w:firstLineChars="200"/>
        <w:jc w:val="both"/>
        <w:rPr>
          <w:rFonts w:ascii="仿宋" w:hAnsi="仿宋" w:eastAsia="仿宋" w:cs="仿宋_GB2312"/>
          <w:sz w:val="32"/>
          <w:szCs w:val="32"/>
        </w:rPr>
      </w:pPr>
      <w:bookmarkStart w:id="51" w:name="_Toc2841923"/>
      <w:r>
        <w:rPr>
          <w:rStyle w:val="29"/>
          <w:rFonts w:hint="eastAsia" w:ascii="仿宋" w:hAnsi="仿宋"/>
        </w:rPr>
        <w:t>第三十九条</w:t>
      </w:r>
      <w:bookmarkEnd w:id="51"/>
      <w:r>
        <w:rPr>
          <w:rStyle w:val="29"/>
          <w:rFonts w:hint="eastAsia" w:ascii="仿宋" w:hAnsi="仿宋" w:eastAsia="仿宋"/>
          <w:lang w:val="en-US" w:eastAsia="zh-CN"/>
        </w:rPr>
        <w:t xml:space="preserve"> </w:t>
      </w:r>
      <w:r>
        <w:rPr>
          <w:rFonts w:hint="eastAsia" w:ascii="仿宋" w:hAnsi="仿宋" w:eastAsia="仿宋" w:cs="仿宋_GB2312"/>
          <w:sz w:val="32"/>
          <w:szCs w:val="32"/>
        </w:rPr>
        <w:t>提供虚假材料或者采取其他欺骗手段取得行政许可的，由省、自治区、直辖市人民政府科学技术行政部门撤销已经取得的行政许可，没收违法所得，并处50万元以上500万元以下罚款，5年内不受理相关责任人</w:t>
      </w:r>
      <w:r>
        <w:rPr>
          <w:rFonts w:ascii="仿宋" w:hAnsi="仿宋" w:eastAsia="仿宋" w:cs="仿宋_GB2312"/>
          <w:sz w:val="32"/>
          <w:szCs w:val="32"/>
        </w:rPr>
        <w:t>及单位提出的许可申请</w:t>
      </w:r>
      <w:r>
        <w:rPr>
          <w:rFonts w:hint="eastAsia" w:ascii="仿宋" w:hAnsi="仿宋" w:eastAsia="仿宋" w:cs="仿宋_GB2312"/>
          <w:sz w:val="32"/>
          <w:szCs w:val="32"/>
        </w:rPr>
        <w:t>。</w:t>
      </w:r>
    </w:p>
    <w:p>
      <w:pPr>
        <w:pStyle w:val="12"/>
        <w:widowControl w:val="0"/>
        <w:adjustRightInd w:val="0"/>
        <w:snapToGrid w:val="0"/>
        <w:spacing w:before="0" w:beforeAutospacing="0" w:after="0" w:afterAutospacing="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在提交年度报告、接受监督检查过程中，提供虚假材料或者采取其他欺骗行为的，由省、自治区、直辖市人民政府科学技术行政部门责令停止违法行为，没收违法所得，并处</w:t>
      </w:r>
      <w:r>
        <w:rPr>
          <w:rFonts w:ascii="仿宋" w:hAnsi="仿宋" w:eastAsia="仿宋" w:cs="仿宋_GB2312"/>
          <w:sz w:val="32"/>
          <w:szCs w:val="32"/>
        </w:rPr>
        <w:t>50</w:t>
      </w:r>
      <w:r>
        <w:rPr>
          <w:rFonts w:hint="eastAsia" w:ascii="仿宋" w:hAnsi="仿宋" w:eastAsia="仿宋" w:cs="仿宋_GB2312"/>
          <w:sz w:val="32"/>
          <w:szCs w:val="32"/>
        </w:rPr>
        <w:t>万元以上</w:t>
      </w:r>
      <w:r>
        <w:rPr>
          <w:rFonts w:ascii="仿宋" w:hAnsi="仿宋" w:eastAsia="仿宋" w:cs="仿宋_GB2312"/>
          <w:sz w:val="32"/>
          <w:szCs w:val="32"/>
        </w:rPr>
        <w:t>5</w:t>
      </w:r>
      <w:r>
        <w:rPr>
          <w:rFonts w:hint="eastAsia" w:ascii="仿宋" w:hAnsi="仿宋" w:eastAsia="仿宋" w:cs="仿宋_GB2312"/>
          <w:sz w:val="32"/>
          <w:szCs w:val="32"/>
        </w:rPr>
        <w:t>00万元以下罚款。</w:t>
      </w:r>
    </w:p>
    <w:p>
      <w:pPr>
        <w:pStyle w:val="12"/>
        <w:widowControl w:val="0"/>
        <w:adjustRightInd w:val="0"/>
        <w:snapToGrid w:val="0"/>
        <w:spacing w:before="0" w:beforeAutospacing="0" w:after="0" w:afterAutospacing="0" w:line="360" w:lineRule="auto"/>
        <w:ind w:firstLine="643" w:firstLineChars="200"/>
        <w:jc w:val="both"/>
        <w:rPr>
          <w:rFonts w:ascii="仿宋" w:hAnsi="仿宋" w:eastAsia="仿宋" w:cs="仿宋_GB2312"/>
          <w:sz w:val="32"/>
          <w:szCs w:val="32"/>
        </w:rPr>
      </w:pPr>
      <w:bookmarkStart w:id="52" w:name="_Toc2841924"/>
      <w:r>
        <w:rPr>
          <w:rStyle w:val="29"/>
          <w:rFonts w:hint="eastAsia" w:ascii="仿宋" w:hAnsi="仿宋"/>
        </w:rPr>
        <w:t>第四十条</w:t>
      </w:r>
      <w:bookmarkEnd w:id="52"/>
      <w:r>
        <w:rPr>
          <w:rStyle w:val="29"/>
          <w:rFonts w:hint="eastAsia" w:ascii="仿宋" w:hAnsi="仿宋" w:eastAsia="仿宋"/>
          <w:lang w:val="en-US" w:eastAsia="zh-CN"/>
        </w:rPr>
        <w:t xml:space="preserve"> </w:t>
      </w:r>
      <w:r>
        <w:rPr>
          <w:rFonts w:hint="eastAsia" w:ascii="仿宋" w:hAnsi="仿宋" w:eastAsia="仿宋" w:cs="仿宋_GB2312"/>
          <w:sz w:val="32"/>
          <w:szCs w:val="32"/>
        </w:rPr>
        <w:t>违反本条例规定，开展生物技术研究开发活动的单位有下列情形之一的，由省、自治区、直辖市人民政府科学技术行政部门责令停止开展相关活动，处</w:t>
      </w:r>
      <w:r>
        <w:rPr>
          <w:rFonts w:ascii="仿宋" w:hAnsi="仿宋" w:eastAsia="仿宋" w:cs="仿宋_GB2312"/>
          <w:sz w:val="32"/>
          <w:szCs w:val="32"/>
        </w:rPr>
        <w:t>50</w:t>
      </w:r>
      <w:r>
        <w:rPr>
          <w:rFonts w:hint="eastAsia" w:ascii="仿宋" w:hAnsi="仿宋" w:eastAsia="仿宋" w:cs="仿宋_GB2312"/>
          <w:sz w:val="32"/>
          <w:szCs w:val="32"/>
        </w:rPr>
        <w:t>万元以上1</w:t>
      </w:r>
      <w:r>
        <w:rPr>
          <w:rFonts w:ascii="仿宋" w:hAnsi="仿宋" w:eastAsia="仿宋" w:cs="仿宋_GB2312"/>
          <w:sz w:val="32"/>
          <w:szCs w:val="32"/>
        </w:rPr>
        <w:t>0</w:t>
      </w:r>
      <w:r>
        <w:rPr>
          <w:rFonts w:hint="eastAsia" w:ascii="仿宋" w:hAnsi="仿宋" w:eastAsia="仿宋" w:cs="仿宋_GB2312"/>
          <w:sz w:val="32"/>
          <w:szCs w:val="32"/>
        </w:rPr>
        <w:t>0万元以下罚款：</w:t>
      </w:r>
    </w:p>
    <w:p>
      <w:pPr>
        <w:pStyle w:val="24"/>
        <w:adjustRightInd w:val="0"/>
        <w:snapToGrid w:val="0"/>
        <w:spacing w:line="360" w:lineRule="auto"/>
        <w:ind w:firstLine="640"/>
        <w:rPr>
          <w:rFonts w:ascii="仿宋" w:hAnsi="仿宋" w:cs="仿宋_GB2312"/>
          <w:szCs w:val="32"/>
        </w:rPr>
      </w:pPr>
      <w:r>
        <w:rPr>
          <w:rFonts w:hint="eastAsia" w:ascii="仿宋" w:hAnsi="仿宋" w:cs="仿宋_GB2312"/>
          <w:szCs w:val="32"/>
        </w:rPr>
        <w:t>（一）未按规定设立生物技术安全委员会的；</w:t>
      </w:r>
    </w:p>
    <w:p>
      <w:pPr>
        <w:pStyle w:val="24"/>
        <w:adjustRightInd w:val="0"/>
        <w:snapToGrid w:val="0"/>
        <w:spacing w:line="360" w:lineRule="auto"/>
        <w:ind w:firstLine="640"/>
        <w:rPr>
          <w:rFonts w:ascii="仿宋" w:hAnsi="仿宋" w:cs="仿宋_GB2312"/>
          <w:szCs w:val="32"/>
        </w:rPr>
      </w:pPr>
      <w:r>
        <w:rPr>
          <w:rFonts w:hint="eastAsia" w:ascii="仿宋" w:hAnsi="仿宋" w:cs="仿宋_GB2312"/>
          <w:szCs w:val="32"/>
        </w:rPr>
        <w:t>（二）未按规定开展生物技术研究开发活动风险评估的；</w:t>
      </w:r>
    </w:p>
    <w:p>
      <w:pPr>
        <w:pStyle w:val="24"/>
        <w:adjustRightInd w:val="0"/>
        <w:snapToGrid w:val="0"/>
        <w:spacing w:line="360" w:lineRule="auto"/>
        <w:ind w:firstLine="640"/>
        <w:rPr>
          <w:rFonts w:ascii="仿宋" w:hAnsi="仿宋" w:cs="仿宋_GB2312"/>
          <w:szCs w:val="32"/>
        </w:rPr>
      </w:pPr>
      <w:r>
        <w:rPr>
          <w:rFonts w:hint="eastAsia" w:ascii="仿宋" w:hAnsi="仿宋" w:cs="仿宋_GB2312"/>
          <w:szCs w:val="32"/>
        </w:rPr>
        <w:t>（三）未对高风险生物技术研究开发活动的成果转移和信息发布进行审查的；</w:t>
      </w:r>
    </w:p>
    <w:p>
      <w:pPr>
        <w:pStyle w:val="24"/>
        <w:adjustRightInd w:val="0"/>
        <w:snapToGrid w:val="0"/>
        <w:spacing w:line="360" w:lineRule="auto"/>
        <w:ind w:firstLine="640"/>
        <w:rPr>
          <w:rFonts w:ascii="仿宋" w:hAnsi="仿宋" w:cs="仿宋_GB2312"/>
          <w:szCs w:val="32"/>
        </w:rPr>
      </w:pPr>
      <w:r>
        <w:rPr>
          <w:rFonts w:hint="eastAsia" w:ascii="仿宋" w:hAnsi="仿宋" w:cs="仿宋_GB2312"/>
          <w:szCs w:val="32"/>
        </w:rPr>
        <w:t>（四）安全</w:t>
      </w:r>
      <w:r>
        <w:rPr>
          <w:rFonts w:ascii="仿宋" w:hAnsi="仿宋" w:cs="仿宋_GB2312"/>
          <w:szCs w:val="32"/>
        </w:rPr>
        <w:t>事件和事故发生时，</w:t>
      </w:r>
      <w:r>
        <w:rPr>
          <w:rFonts w:hint="eastAsia" w:ascii="仿宋" w:hAnsi="仿宋" w:cs="仿宋_GB2312"/>
          <w:szCs w:val="32"/>
        </w:rPr>
        <w:t>未及时采取</w:t>
      </w:r>
      <w:r>
        <w:rPr>
          <w:rFonts w:ascii="仿宋" w:hAnsi="仿宋" w:cs="仿宋_GB2312"/>
          <w:szCs w:val="32"/>
        </w:rPr>
        <w:t>应急</w:t>
      </w:r>
      <w:r>
        <w:rPr>
          <w:rFonts w:hint="eastAsia" w:ascii="仿宋" w:hAnsi="仿宋" w:cs="仿宋_GB2312"/>
          <w:szCs w:val="32"/>
        </w:rPr>
        <w:t>处置</w:t>
      </w:r>
      <w:r>
        <w:rPr>
          <w:rFonts w:ascii="仿宋" w:hAnsi="仿宋" w:cs="仿宋_GB2312"/>
          <w:szCs w:val="32"/>
        </w:rPr>
        <w:t>措施</w:t>
      </w:r>
      <w:r>
        <w:rPr>
          <w:rFonts w:hint="eastAsia" w:ascii="仿宋" w:hAnsi="仿宋" w:cs="仿宋_GB2312"/>
          <w:szCs w:val="32"/>
        </w:rPr>
        <w:t>的。</w:t>
      </w:r>
    </w:p>
    <w:p>
      <w:pPr>
        <w:pStyle w:val="12"/>
        <w:widowControl w:val="0"/>
        <w:adjustRightInd w:val="0"/>
        <w:snapToGrid w:val="0"/>
        <w:spacing w:before="0" w:beforeAutospacing="0" w:after="0" w:afterAutospacing="0" w:line="360" w:lineRule="auto"/>
        <w:ind w:firstLine="643" w:firstLineChars="200"/>
        <w:jc w:val="both"/>
        <w:rPr>
          <w:rFonts w:ascii="仿宋" w:hAnsi="仿宋" w:eastAsia="仿宋" w:cs="仿宋_GB2312"/>
          <w:sz w:val="32"/>
          <w:szCs w:val="32"/>
        </w:rPr>
      </w:pPr>
      <w:bookmarkStart w:id="53" w:name="_Toc2841925"/>
      <w:r>
        <w:rPr>
          <w:rStyle w:val="29"/>
          <w:rFonts w:hint="eastAsia" w:ascii="仿宋" w:hAnsi="仿宋"/>
        </w:rPr>
        <w:t>第四十一条</w:t>
      </w:r>
      <w:bookmarkEnd w:id="48"/>
      <w:bookmarkEnd w:id="53"/>
      <w:r>
        <w:rPr>
          <w:rStyle w:val="29"/>
          <w:rFonts w:hint="eastAsia" w:ascii="仿宋" w:hAnsi="仿宋" w:eastAsia="仿宋"/>
          <w:lang w:val="en-US" w:eastAsia="zh-CN"/>
        </w:rPr>
        <w:t xml:space="preserve"> </w:t>
      </w:r>
      <w:r>
        <w:rPr>
          <w:rFonts w:hint="eastAsia" w:ascii="仿宋" w:hAnsi="仿宋" w:eastAsia="仿宋" w:cs="仿宋_GB2312"/>
          <w:sz w:val="32"/>
          <w:szCs w:val="32"/>
        </w:rPr>
        <w:t>违反本条例规定，开展生物技术研究开发活动的单位有下列情形之一的，由省、自治区、直辖市人民政府科学技术行政部门责令改正，给予警告，可以处50万元以下的罚款：</w:t>
      </w:r>
    </w:p>
    <w:p>
      <w:pPr>
        <w:pStyle w:val="24"/>
        <w:adjustRightInd w:val="0"/>
        <w:snapToGrid w:val="0"/>
        <w:spacing w:line="360" w:lineRule="auto"/>
        <w:ind w:firstLine="640"/>
        <w:rPr>
          <w:rFonts w:ascii="仿宋" w:hAnsi="仿宋" w:cs="仿宋_GB2312"/>
          <w:szCs w:val="32"/>
        </w:rPr>
      </w:pPr>
      <w:r>
        <w:rPr>
          <w:rFonts w:hint="eastAsia" w:ascii="仿宋" w:hAnsi="仿宋" w:cs="仿宋_GB2312"/>
          <w:szCs w:val="32"/>
        </w:rPr>
        <w:t>（一）未建立内部安全管理制度的；</w:t>
      </w:r>
    </w:p>
    <w:p>
      <w:pPr>
        <w:pStyle w:val="24"/>
        <w:adjustRightInd w:val="0"/>
        <w:snapToGrid w:val="0"/>
        <w:spacing w:line="360" w:lineRule="auto"/>
        <w:ind w:firstLine="640"/>
        <w:rPr>
          <w:rFonts w:ascii="仿宋" w:hAnsi="仿宋" w:cs="仿宋_GB2312"/>
          <w:szCs w:val="32"/>
        </w:rPr>
      </w:pPr>
      <w:r>
        <w:rPr>
          <w:rFonts w:hint="eastAsia" w:ascii="仿宋" w:hAnsi="仿宋" w:cs="仿宋_GB2312"/>
          <w:szCs w:val="32"/>
        </w:rPr>
        <w:t>（二）未按规定对</w:t>
      </w:r>
      <w:r>
        <w:rPr>
          <w:rFonts w:ascii="仿宋" w:hAnsi="仿宋" w:cs="仿宋_GB2312"/>
          <w:szCs w:val="32"/>
        </w:rPr>
        <w:t>生物技术安全委员会</w:t>
      </w:r>
      <w:r>
        <w:rPr>
          <w:rFonts w:hint="eastAsia" w:ascii="仿宋" w:hAnsi="仿宋" w:cs="仿宋_GB2312"/>
          <w:bCs/>
        </w:rPr>
        <w:t>备案的</w:t>
      </w:r>
      <w:r>
        <w:rPr>
          <w:rFonts w:hint="eastAsia" w:ascii="仿宋" w:hAnsi="仿宋" w:cs="仿宋_GB2312"/>
          <w:szCs w:val="32"/>
        </w:rPr>
        <w:t>；</w:t>
      </w:r>
    </w:p>
    <w:p>
      <w:pPr>
        <w:pStyle w:val="24"/>
        <w:adjustRightInd w:val="0"/>
        <w:snapToGrid w:val="0"/>
        <w:spacing w:line="360" w:lineRule="auto"/>
        <w:ind w:firstLine="640"/>
        <w:rPr>
          <w:rFonts w:ascii="仿宋" w:hAnsi="仿宋" w:cs="仿宋_GB2312"/>
          <w:szCs w:val="32"/>
        </w:rPr>
      </w:pPr>
      <w:r>
        <w:rPr>
          <w:rFonts w:hint="eastAsia" w:ascii="仿宋" w:hAnsi="仿宋" w:cs="仿宋_GB2312"/>
          <w:szCs w:val="32"/>
        </w:rPr>
        <w:t>（三）未真实准确完整记录并保存研究开发信息的；</w:t>
      </w:r>
    </w:p>
    <w:p>
      <w:pPr>
        <w:pStyle w:val="24"/>
        <w:adjustRightInd w:val="0"/>
        <w:snapToGrid w:val="0"/>
        <w:spacing w:line="360" w:lineRule="auto"/>
        <w:ind w:firstLine="640"/>
        <w:rPr>
          <w:rFonts w:ascii="仿宋" w:hAnsi="仿宋" w:cs="仿宋_GB2312"/>
          <w:szCs w:val="32"/>
        </w:rPr>
      </w:pPr>
      <w:r>
        <w:rPr>
          <w:rFonts w:hint="eastAsia" w:ascii="仿宋" w:hAnsi="仿宋" w:cs="仿宋_GB2312"/>
          <w:szCs w:val="32"/>
        </w:rPr>
        <w:t>（四）未提交高风险生物技术研究开发活动年度报告的。</w:t>
      </w:r>
    </w:p>
    <w:p>
      <w:pPr>
        <w:pStyle w:val="12"/>
        <w:widowControl w:val="0"/>
        <w:adjustRightInd w:val="0"/>
        <w:snapToGrid w:val="0"/>
        <w:spacing w:before="0" w:beforeAutospacing="0" w:after="0" w:afterAutospacing="0" w:line="360" w:lineRule="auto"/>
        <w:ind w:firstLine="643" w:firstLineChars="200"/>
        <w:jc w:val="both"/>
        <w:rPr>
          <w:rFonts w:ascii="仿宋" w:hAnsi="仿宋" w:eastAsia="仿宋" w:cs="仿宋_GB2312"/>
          <w:sz w:val="32"/>
          <w:szCs w:val="32"/>
        </w:rPr>
      </w:pPr>
      <w:bookmarkStart w:id="54" w:name="_Toc2841926"/>
      <w:bookmarkStart w:id="55" w:name="_Toc535921839"/>
      <w:r>
        <w:rPr>
          <w:rStyle w:val="29"/>
          <w:rFonts w:hint="eastAsia" w:ascii="仿宋" w:hAnsi="仿宋"/>
        </w:rPr>
        <w:t>第四十二条</w:t>
      </w:r>
      <w:bookmarkEnd w:id="54"/>
      <w:r>
        <w:rPr>
          <w:rStyle w:val="29"/>
          <w:rFonts w:hint="eastAsia" w:ascii="仿宋" w:hAnsi="仿宋" w:eastAsia="仿宋"/>
          <w:lang w:val="en-US" w:eastAsia="zh-CN"/>
        </w:rPr>
        <w:t xml:space="preserve"> </w:t>
      </w:r>
      <w:r>
        <w:rPr>
          <w:rFonts w:hint="eastAsia" w:ascii="仿宋" w:hAnsi="仿宋" w:eastAsia="仿宋" w:cs="仿宋_GB2312"/>
          <w:sz w:val="32"/>
          <w:szCs w:val="32"/>
        </w:rPr>
        <w:t>有本条例第六条</w:t>
      </w:r>
      <w:r>
        <w:rPr>
          <w:rFonts w:ascii="仿宋" w:hAnsi="仿宋" w:eastAsia="仿宋" w:cs="仿宋_GB2312"/>
          <w:sz w:val="32"/>
          <w:szCs w:val="32"/>
        </w:rPr>
        <w:t>、</w:t>
      </w:r>
      <w:r>
        <w:rPr>
          <w:rFonts w:hint="eastAsia" w:ascii="仿宋" w:hAnsi="仿宋" w:eastAsia="仿宋" w:cs="仿宋_GB2312"/>
          <w:sz w:val="32"/>
          <w:szCs w:val="32"/>
        </w:rPr>
        <w:t>第十三条</w:t>
      </w:r>
      <w:r>
        <w:rPr>
          <w:rFonts w:ascii="仿宋" w:hAnsi="仿宋" w:eastAsia="仿宋" w:cs="仿宋_GB2312"/>
          <w:sz w:val="32"/>
          <w:szCs w:val="32"/>
        </w:rPr>
        <w:t>、</w:t>
      </w:r>
      <w:r>
        <w:rPr>
          <w:rFonts w:hint="eastAsia" w:ascii="仿宋" w:hAnsi="仿宋" w:eastAsia="仿宋" w:cs="仿宋_GB2312"/>
          <w:sz w:val="32"/>
          <w:szCs w:val="32"/>
        </w:rPr>
        <w:t>第二十五</w:t>
      </w:r>
      <w:r>
        <w:rPr>
          <w:rFonts w:ascii="仿宋" w:hAnsi="仿宋" w:eastAsia="仿宋" w:cs="仿宋_GB2312"/>
          <w:sz w:val="32"/>
          <w:szCs w:val="32"/>
        </w:rPr>
        <w:t>条</w:t>
      </w:r>
      <w:r>
        <w:rPr>
          <w:rFonts w:hint="eastAsia" w:ascii="仿宋" w:hAnsi="仿宋" w:eastAsia="仿宋" w:cs="仿宋_GB2312"/>
          <w:sz w:val="32"/>
          <w:szCs w:val="32"/>
        </w:rPr>
        <w:t>规定违法行为的主要责任人员、直接责任人员和其他责任人员，依法给予处分，并由国务院科学技术行政部门或者省、自治区、直辖市人民政府科学技术行政部门依据</w:t>
      </w:r>
      <w:r>
        <w:rPr>
          <w:rFonts w:ascii="仿宋" w:hAnsi="仿宋" w:eastAsia="仿宋" w:cs="仿宋_GB2312"/>
          <w:sz w:val="32"/>
          <w:szCs w:val="32"/>
        </w:rPr>
        <w:t>职责</w:t>
      </w:r>
      <w:r>
        <w:rPr>
          <w:rFonts w:hint="eastAsia" w:ascii="仿宋" w:hAnsi="仿宋" w:eastAsia="仿宋" w:cs="仿宋_GB2312"/>
          <w:sz w:val="32"/>
          <w:szCs w:val="32"/>
        </w:rPr>
        <w:t>没收其违法所得，处</w:t>
      </w:r>
      <w:r>
        <w:rPr>
          <w:rFonts w:ascii="仿宋" w:hAnsi="仿宋" w:eastAsia="仿宋" w:cs="仿宋_GB2312"/>
          <w:sz w:val="32"/>
          <w:szCs w:val="32"/>
        </w:rPr>
        <w:t>50</w:t>
      </w:r>
      <w:r>
        <w:rPr>
          <w:rFonts w:hint="eastAsia" w:ascii="仿宋" w:hAnsi="仿宋" w:eastAsia="仿宋" w:cs="仿宋_GB2312"/>
          <w:sz w:val="32"/>
          <w:szCs w:val="32"/>
        </w:rPr>
        <w:t>万元以下罚款；</w:t>
      </w:r>
      <w:r>
        <w:rPr>
          <w:rFonts w:ascii="仿宋" w:hAnsi="仿宋" w:eastAsia="仿宋" w:cs="仿宋_GB2312"/>
          <w:sz w:val="32"/>
          <w:szCs w:val="32"/>
        </w:rPr>
        <w:t>情节严重的，</w:t>
      </w:r>
      <w:r>
        <w:rPr>
          <w:rFonts w:hint="eastAsia" w:ascii="仿宋" w:hAnsi="仿宋" w:eastAsia="仿宋" w:cs="仿宋_GB2312"/>
          <w:sz w:val="32"/>
          <w:szCs w:val="32"/>
        </w:rPr>
        <w:t>禁止其1至5年内从事生物技术研究开发活动；情节特别严重的，永久禁止其从事生物技术研究开发活动，并由相关部门吊销相应职业资格。</w:t>
      </w:r>
    </w:p>
    <w:p>
      <w:pPr>
        <w:pStyle w:val="12"/>
        <w:widowControl w:val="0"/>
        <w:adjustRightInd w:val="0"/>
        <w:snapToGrid w:val="0"/>
        <w:spacing w:before="0" w:beforeAutospacing="0" w:after="0" w:afterAutospacing="0" w:line="360" w:lineRule="auto"/>
        <w:ind w:firstLine="643" w:firstLineChars="200"/>
        <w:jc w:val="both"/>
        <w:rPr>
          <w:rFonts w:ascii="仿宋" w:hAnsi="仿宋" w:eastAsia="仿宋" w:cs="仿宋_GB2312"/>
          <w:sz w:val="32"/>
          <w:szCs w:val="32"/>
        </w:rPr>
      </w:pPr>
      <w:bookmarkStart w:id="56" w:name="_Toc2841927"/>
      <w:r>
        <w:rPr>
          <w:rStyle w:val="29"/>
          <w:rFonts w:hint="eastAsia" w:ascii="仿宋" w:hAnsi="仿宋"/>
        </w:rPr>
        <w:t>第四十三条</w:t>
      </w:r>
      <w:bookmarkEnd w:id="56"/>
      <w:r>
        <w:rPr>
          <w:rStyle w:val="29"/>
          <w:rFonts w:hint="eastAsia" w:ascii="仿宋" w:hAnsi="仿宋" w:eastAsia="仿宋"/>
          <w:lang w:val="en-US" w:eastAsia="zh-CN"/>
        </w:rPr>
        <w:t xml:space="preserve"> </w:t>
      </w:r>
      <w:r>
        <w:rPr>
          <w:rFonts w:hint="eastAsia" w:ascii="仿宋" w:hAnsi="仿宋" w:eastAsia="仿宋" w:cs="仿宋_GB2312"/>
          <w:sz w:val="32"/>
          <w:szCs w:val="32"/>
        </w:rPr>
        <w:t>开展生物技术研究开发活动的单位和个人有本条例规定违法</w:t>
      </w:r>
      <w:r>
        <w:rPr>
          <w:rFonts w:ascii="仿宋" w:hAnsi="仿宋" w:eastAsia="仿宋" w:cs="仿宋_GB2312"/>
          <w:sz w:val="32"/>
          <w:szCs w:val="32"/>
        </w:rPr>
        <w:t>行为</w:t>
      </w:r>
      <w:r>
        <w:rPr>
          <w:rFonts w:hint="eastAsia" w:ascii="仿宋" w:hAnsi="仿宋" w:eastAsia="仿宋" w:cs="仿宋_GB2312"/>
          <w:sz w:val="32"/>
          <w:szCs w:val="32"/>
        </w:rPr>
        <w:t>的，记入信用记录，并依照有关法律、行政法规的</w:t>
      </w:r>
      <w:r>
        <w:rPr>
          <w:rFonts w:ascii="仿宋" w:hAnsi="仿宋" w:eastAsia="仿宋" w:cs="仿宋_GB2312"/>
          <w:sz w:val="32"/>
          <w:szCs w:val="32"/>
        </w:rPr>
        <w:t>规定向社会</w:t>
      </w:r>
      <w:r>
        <w:rPr>
          <w:rFonts w:hint="eastAsia" w:ascii="仿宋" w:hAnsi="仿宋" w:eastAsia="仿宋" w:cs="仿宋_GB2312"/>
          <w:sz w:val="32"/>
          <w:szCs w:val="32"/>
        </w:rPr>
        <w:t>公示。</w:t>
      </w:r>
    </w:p>
    <w:p>
      <w:pPr>
        <w:pStyle w:val="12"/>
        <w:widowControl w:val="0"/>
        <w:adjustRightInd w:val="0"/>
        <w:snapToGrid w:val="0"/>
        <w:spacing w:before="0" w:beforeAutospacing="0" w:after="0" w:afterAutospacing="0" w:line="360" w:lineRule="auto"/>
        <w:ind w:firstLine="643" w:firstLineChars="200"/>
        <w:jc w:val="both"/>
        <w:rPr>
          <w:rFonts w:ascii="仿宋" w:hAnsi="仿宋" w:eastAsia="仿宋" w:cs="仿宋_GB2312"/>
          <w:sz w:val="32"/>
          <w:szCs w:val="32"/>
        </w:rPr>
      </w:pPr>
      <w:bookmarkStart w:id="57" w:name="_Toc2841928"/>
      <w:r>
        <w:rPr>
          <w:rStyle w:val="29"/>
          <w:rFonts w:hint="eastAsia" w:ascii="仿宋" w:hAnsi="仿宋"/>
        </w:rPr>
        <w:t>第四十四条</w:t>
      </w:r>
      <w:bookmarkEnd w:id="55"/>
      <w:bookmarkEnd w:id="57"/>
      <w:r>
        <w:rPr>
          <w:rStyle w:val="29"/>
          <w:rFonts w:hint="eastAsia" w:ascii="仿宋" w:hAnsi="仿宋" w:eastAsia="仿宋"/>
          <w:lang w:val="en-US" w:eastAsia="zh-CN"/>
        </w:rPr>
        <w:t xml:space="preserve"> </w:t>
      </w:r>
      <w:r>
        <w:rPr>
          <w:rFonts w:hint="eastAsia" w:ascii="仿宋" w:hAnsi="仿宋" w:eastAsia="仿宋" w:cs="仿宋_GB2312"/>
          <w:sz w:val="32"/>
          <w:szCs w:val="32"/>
        </w:rPr>
        <w:t>违反本条例规定，侵害他人</w:t>
      </w:r>
      <w:r>
        <w:rPr>
          <w:rFonts w:ascii="仿宋" w:hAnsi="仿宋" w:eastAsia="仿宋" w:cs="仿宋_GB2312"/>
          <w:sz w:val="32"/>
          <w:szCs w:val="32"/>
        </w:rPr>
        <w:t>合法利益的</w:t>
      </w:r>
      <w:r>
        <w:rPr>
          <w:rFonts w:hint="eastAsia" w:ascii="仿宋" w:hAnsi="仿宋" w:eastAsia="仿宋" w:cs="仿宋_GB2312"/>
          <w:sz w:val="32"/>
          <w:szCs w:val="32"/>
        </w:rPr>
        <w:t>，依法承担民事责任；构成犯罪的，依法追究刑事责任。</w:t>
      </w:r>
    </w:p>
    <w:p>
      <w:pPr>
        <w:pStyle w:val="12"/>
        <w:widowControl w:val="0"/>
        <w:adjustRightInd w:val="0"/>
        <w:snapToGrid w:val="0"/>
        <w:spacing w:before="0" w:beforeAutospacing="0" w:after="0" w:afterAutospacing="0" w:line="360" w:lineRule="auto"/>
        <w:ind w:firstLine="643" w:firstLineChars="200"/>
        <w:jc w:val="both"/>
        <w:rPr>
          <w:rFonts w:ascii="仿宋" w:hAnsi="仿宋" w:eastAsia="仿宋" w:cs="仿宋_GB2312"/>
          <w:sz w:val="32"/>
          <w:szCs w:val="32"/>
        </w:rPr>
      </w:pPr>
      <w:bookmarkStart w:id="58" w:name="_Toc2841929"/>
      <w:r>
        <w:rPr>
          <w:rStyle w:val="29"/>
          <w:rFonts w:hint="eastAsia" w:ascii="仿宋" w:hAnsi="仿宋"/>
        </w:rPr>
        <w:t>第四十五条</w:t>
      </w:r>
      <w:bookmarkEnd w:id="58"/>
      <w:r>
        <w:rPr>
          <w:rStyle w:val="29"/>
          <w:rFonts w:hint="eastAsia" w:ascii="仿宋" w:hAnsi="仿宋" w:eastAsia="仿宋"/>
          <w:lang w:val="en-US" w:eastAsia="zh-CN"/>
        </w:rPr>
        <w:t xml:space="preserve"> </w:t>
      </w:r>
      <w:r>
        <w:rPr>
          <w:rFonts w:hint="eastAsia" w:ascii="仿宋" w:hAnsi="仿宋" w:eastAsia="仿宋" w:cs="仿宋_GB2312"/>
          <w:sz w:val="32"/>
          <w:szCs w:val="32"/>
        </w:rPr>
        <w:t>各级生物技术安全委员会委员违反本条例规定，不履行职责、玩忽职守的，记入信用记录，5年内不得再次聘任为各级生物技术安全委员会委员；造成严重影响的，终身不得再次聘任为各级生物技术安全委员会委员；构成犯罪的，依法追究刑事责任。</w:t>
      </w:r>
    </w:p>
    <w:p>
      <w:pPr>
        <w:pStyle w:val="12"/>
        <w:widowControl w:val="0"/>
        <w:adjustRightInd w:val="0"/>
        <w:snapToGrid w:val="0"/>
        <w:spacing w:before="0" w:beforeAutospacing="0" w:after="0" w:afterAutospacing="0" w:line="360" w:lineRule="auto"/>
        <w:ind w:firstLine="643" w:firstLineChars="200"/>
        <w:rPr>
          <w:rFonts w:ascii="仿宋" w:hAnsi="仿宋" w:eastAsia="仿宋" w:cs="仿宋_GB2312"/>
          <w:sz w:val="32"/>
          <w:szCs w:val="32"/>
        </w:rPr>
      </w:pPr>
      <w:bookmarkStart w:id="59" w:name="_Toc2841930"/>
      <w:bookmarkStart w:id="60" w:name="_Toc535921840"/>
      <w:r>
        <w:rPr>
          <w:rStyle w:val="29"/>
          <w:rFonts w:hint="eastAsia" w:ascii="仿宋" w:hAnsi="仿宋"/>
        </w:rPr>
        <w:t>第四十六条</w:t>
      </w:r>
      <w:bookmarkEnd w:id="59"/>
      <w:bookmarkEnd w:id="60"/>
      <w:r>
        <w:rPr>
          <w:rStyle w:val="29"/>
          <w:rFonts w:hint="eastAsia" w:ascii="仿宋" w:hAnsi="仿宋" w:eastAsia="仿宋"/>
          <w:lang w:val="en-US" w:eastAsia="zh-CN"/>
        </w:rPr>
        <w:t xml:space="preserve"> </w:t>
      </w:r>
      <w:r>
        <w:rPr>
          <w:rFonts w:hint="eastAsia" w:ascii="仿宋" w:hAnsi="仿宋" w:eastAsia="仿宋" w:cs="仿宋_GB2312"/>
          <w:sz w:val="32"/>
          <w:szCs w:val="32"/>
        </w:rPr>
        <w:t>国务院科学技术</w:t>
      </w:r>
      <w:r>
        <w:rPr>
          <w:rFonts w:ascii="仿宋" w:hAnsi="仿宋" w:eastAsia="仿宋" w:cs="仿宋_GB2312"/>
          <w:sz w:val="32"/>
          <w:szCs w:val="32"/>
        </w:rPr>
        <w:t>行政部门</w:t>
      </w:r>
      <w:r>
        <w:rPr>
          <w:rFonts w:hint="eastAsia" w:ascii="仿宋" w:hAnsi="仿宋" w:eastAsia="仿宋" w:cs="仿宋_GB2312"/>
          <w:sz w:val="32"/>
          <w:szCs w:val="32"/>
        </w:rPr>
        <w:t>和省、自治区、直辖市人民政府科学</w:t>
      </w:r>
      <w:r>
        <w:rPr>
          <w:rFonts w:ascii="仿宋" w:hAnsi="仿宋" w:eastAsia="仿宋" w:cs="仿宋_GB2312"/>
          <w:sz w:val="32"/>
          <w:szCs w:val="32"/>
        </w:rPr>
        <w:t>技术行政部门</w:t>
      </w:r>
      <w:r>
        <w:rPr>
          <w:rFonts w:hint="eastAsia" w:ascii="仿宋" w:hAnsi="仿宋" w:eastAsia="仿宋" w:cs="仿宋_GB2312"/>
          <w:sz w:val="32"/>
          <w:szCs w:val="32"/>
        </w:rPr>
        <w:t>的工作人员违反本条例规定，不履行</w:t>
      </w:r>
      <w:r>
        <w:rPr>
          <w:rFonts w:ascii="仿宋" w:hAnsi="仿宋" w:eastAsia="仿宋" w:cs="仿宋_GB2312"/>
          <w:sz w:val="32"/>
          <w:szCs w:val="32"/>
        </w:rPr>
        <w:t>职责或</w:t>
      </w:r>
      <w:r>
        <w:rPr>
          <w:rFonts w:hint="eastAsia" w:ascii="仿宋" w:hAnsi="仿宋" w:eastAsia="仿宋" w:cs="仿宋_GB2312"/>
          <w:sz w:val="32"/>
          <w:szCs w:val="32"/>
        </w:rPr>
        <w:t>滥用职权、玩忽职守、徇私舞弊的，依法给予处分；构成犯罪的，依法追究刑事责任。</w:t>
      </w:r>
    </w:p>
    <w:p>
      <w:pPr>
        <w:pStyle w:val="2"/>
        <w:keepNext w:val="0"/>
        <w:keepLines w:val="0"/>
        <w:adjustRightInd w:val="0"/>
        <w:snapToGrid w:val="0"/>
        <w:spacing w:before="312" w:beforeLines="100" w:after="312" w:afterLines="100" w:line="360" w:lineRule="auto"/>
        <w:jc w:val="center"/>
        <w:rPr>
          <w:rFonts w:ascii="仿宋" w:hAnsi="仿宋"/>
        </w:rPr>
      </w:pPr>
      <w:bookmarkStart w:id="61" w:name="_Toc2841931"/>
      <w:r>
        <w:rPr>
          <w:rFonts w:hint="eastAsia" w:ascii="仿宋" w:hAnsi="仿宋"/>
        </w:rPr>
        <w:t>第六章　附则</w:t>
      </w:r>
      <w:bookmarkEnd w:id="61"/>
    </w:p>
    <w:p>
      <w:pPr>
        <w:pStyle w:val="12"/>
        <w:widowControl w:val="0"/>
        <w:adjustRightInd w:val="0"/>
        <w:snapToGrid w:val="0"/>
        <w:spacing w:before="0" w:beforeAutospacing="0" w:after="0" w:afterAutospacing="0" w:line="360" w:lineRule="auto"/>
        <w:ind w:firstLine="643" w:firstLineChars="200"/>
        <w:jc w:val="both"/>
        <w:rPr>
          <w:rFonts w:ascii="仿宋" w:hAnsi="仿宋" w:eastAsia="仿宋" w:cs="仿宋_GB2312"/>
          <w:sz w:val="32"/>
          <w:szCs w:val="32"/>
        </w:rPr>
      </w:pPr>
      <w:bookmarkStart w:id="62" w:name="_Toc2841932"/>
      <w:r>
        <w:rPr>
          <w:rStyle w:val="29"/>
          <w:rFonts w:hint="eastAsia" w:ascii="仿宋" w:hAnsi="仿宋"/>
        </w:rPr>
        <w:t>第四十七条</w:t>
      </w:r>
      <w:bookmarkEnd w:id="62"/>
      <w:r>
        <w:rPr>
          <w:rStyle w:val="29"/>
          <w:rFonts w:hint="eastAsia" w:ascii="仿宋" w:hAnsi="仿宋" w:eastAsia="仿宋"/>
          <w:lang w:val="en-US" w:eastAsia="zh-CN"/>
        </w:rPr>
        <w:t xml:space="preserve"> </w:t>
      </w:r>
      <w:r>
        <w:rPr>
          <w:rFonts w:hint="eastAsia" w:ascii="仿宋" w:hAnsi="仿宋" w:eastAsia="仿宋" w:cs="仿宋_GB2312"/>
          <w:sz w:val="32"/>
          <w:szCs w:val="32"/>
        </w:rPr>
        <w:t>属于国家科学技术秘密的，应按照《中华人民共和国保守国家秘密法》和国家其他有关保密规定实施保密管理。</w:t>
      </w:r>
    </w:p>
    <w:p>
      <w:pPr>
        <w:pStyle w:val="12"/>
        <w:snapToGrid w:val="0"/>
        <w:spacing w:before="0" w:beforeAutospacing="0" w:after="0" w:afterAutospacing="0" w:line="360" w:lineRule="auto"/>
        <w:ind w:firstLine="643" w:firstLineChars="200"/>
        <w:jc w:val="both"/>
        <w:rPr>
          <w:rFonts w:ascii="仿宋" w:hAnsi="仿宋" w:eastAsia="仿宋" w:cs="仿宋_GB2312"/>
          <w:sz w:val="32"/>
          <w:szCs w:val="32"/>
        </w:rPr>
      </w:pPr>
      <w:bookmarkStart w:id="63" w:name="_Toc2841933"/>
      <w:bookmarkStart w:id="64" w:name="_Toc956452"/>
      <w:r>
        <w:rPr>
          <w:rStyle w:val="29"/>
          <w:rFonts w:hint="eastAsia" w:ascii="仿宋" w:hAnsi="仿宋"/>
        </w:rPr>
        <w:t>第四十八条</w:t>
      </w:r>
      <w:bookmarkEnd w:id="63"/>
      <w:bookmarkEnd w:id="64"/>
      <w:r>
        <w:rPr>
          <w:rStyle w:val="29"/>
          <w:rFonts w:hint="eastAsia" w:ascii="仿宋" w:hAnsi="仿宋" w:eastAsia="仿宋"/>
          <w:lang w:val="en-US" w:eastAsia="zh-CN"/>
        </w:rPr>
        <w:t xml:space="preserve"> </w:t>
      </w:r>
      <w:r>
        <w:rPr>
          <w:rFonts w:hint="eastAsia" w:ascii="仿宋" w:hAnsi="仿宋" w:eastAsia="仿宋" w:cs="仿宋_GB2312"/>
          <w:sz w:val="32"/>
          <w:szCs w:val="32"/>
        </w:rPr>
        <w:t>开展生物技术研究开发活动涉及伦理和人类遗传资源的，应遵守有关伦理和人类遗传资源管理法律、行政法规和国家有关规定。</w:t>
      </w:r>
    </w:p>
    <w:p>
      <w:pPr>
        <w:pStyle w:val="12"/>
        <w:snapToGrid w:val="0"/>
        <w:spacing w:before="0" w:beforeAutospacing="0" w:after="0" w:afterAutospacing="0" w:line="360" w:lineRule="auto"/>
        <w:ind w:firstLine="643" w:firstLineChars="200"/>
        <w:rPr>
          <w:rFonts w:ascii="仿宋" w:hAnsi="仿宋" w:cs="仿宋_GB2312"/>
          <w:kern w:val="0"/>
          <w:szCs w:val="32"/>
        </w:rPr>
      </w:pPr>
      <w:bookmarkStart w:id="65" w:name="_Toc2841934"/>
      <w:r>
        <w:rPr>
          <w:rStyle w:val="29"/>
          <w:rFonts w:hint="eastAsia" w:ascii="仿宋" w:hAnsi="仿宋"/>
        </w:rPr>
        <w:t>第四十九条</w:t>
      </w:r>
      <w:bookmarkEnd w:id="65"/>
      <w:r>
        <w:rPr>
          <w:rStyle w:val="29"/>
          <w:rFonts w:hint="eastAsia" w:ascii="仿宋" w:hAnsi="仿宋" w:eastAsia="仿宋"/>
          <w:lang w:val="en-US" w:eastAsia="zh-CN"/>
        </w:rPr>
        <w:t xml:space="preserve"> </w:t>
      </w:r>
      <w:r>
        <w:rPr>
          <w:rFonts w:hint="eastAsia" w:ascii="仿宋" w:hAnsi="仿宋" w:eastAsia="仿宋" w:cs="仿宋_GB2312"/>
          <w:sz w:val="32"/>
          <w:szCs w:val="32"/>
        </w:rPr>
        <w:t>本条例自2019年  月  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等线 Light">
    <w:altName w:val="Latha"/>
    <w:panose1 w:val="00000000000000000000"/>
    <w:charset w:val="00"/>
    <w:family w:val="auto"/>
    <w:pitch w:val="default"/>
    <w:sig w:usb0="00000000" w:usb1="00000000" w:usb2="00000000" w:usb3="00000000" w:csb0="00000000" w:csb1="00000000"/>
  </w:font>
  <w:font w:name="Segoe Print">
    <w:altName w:val="Verdana"/>
    <w:panose1 w:val="02000600000000000000"/>
    <w:charset w:val="00"/>
    <w:family w:val="auto"/>
    <w:pitch w:val="default"/>
    <w:sig w:usb0="00000000" w:usb1="00000000" w:usb2="00000000" w:usb3="00000000" w:csb0="2000009F" w:csb1="47010000"/>
  </w:font>
  <w:font w:name="等线">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Shruti">
    <w:panose1 w:val="02000500000000000000"/>
    <w:charset w:val="00"/>
    <w:family w:val="auto"/>
    <w:pitch w:val="default"/>
    <w:sig w:usb0="00040000" w:usb1="00000000" w:usb2="00000000" w:usb3="00000000" w:csb0="00000000" w:csb1="00000000"/>
  </w:font>
  <w:font w:name="Verdana">
    <w:panose1 w:val="020B0604030504040204"/>
    <w:charset w:val="00"/>
    <w:family w:val="auto"/>
    <w:pitch w:val="default"/>
    <w:sig w:usb0="00000287" w:usb1="00000000"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0325" cy="1549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0325" cy="154940"/>
                      </a:xfrm>
                      <a:prstGeom prst="rect">
                        <a:avLst/>
                      </a:prstGeom>
                      <a:noFill/>
                      <a:ln w="6350">
                        <a:noFill/>
                      </a:ln>
                      <a:effectLst/>
                    </wps:spPr>
                    <wps:txbx>
                      <w:txbxContent>
                        <w:p>
                          <w:pPr>
                            <w:pStyle w:val="8"/>
                          </w:pPr>
                          <w:r>
                            <w:fldChar w:fldCharType="begin"/>
                          </w:r>
                          <w:r>
                            <w:instrText xml:space="preserve"> PAGE  \* MERGEFORMAT </w:instrText>
                          </w:r>
                          <w:r>
                            <w:fldChar w:fldCharType="separate"/>
                          </w:r>
                          <w:r>
                            <w:rPr>
                              <w:rFonts w:hint="eastAsia"/>
                            </w:rPr>
                            <w:t>19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2pt;width:4.75pt;mso-position-horizontal:center;mso-position-horizontal-relative:margin;mso-wrap-style:none;z-index:251658240;mso-width-relative:page;mso-height-relative:page;" filled="f" stroked="f" coordsize="21600,21600" o:gfxdata="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66+tTRAAAAAgEAAA8AAAAAAAAA&#10;AQAgAAAAIgAAAGRycy9kb3ducmV2LnhtbFBLAQIUABQAAAAIAIdO4kCLJEqwGAIAABIEAAAOAAAA&#10;AAAAAAEAIAAAACABAABkcnMvZTJvRG9jLnhtbFBLBQYAAAAABgAGAFkBAACq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rPr>
                        <w:rFonts w:hint="eastAsia"/>
                      </w:rPr>
                      <w:t>19</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F21"/>
    <w:rsid w:val="000011FE"/>
    <w:rsid w:val="000033A4"/>
    <w:rsid w:val="00004C61"/>
    <w:rsid w:val="00006342"/>
    <w:rsid w:val="000071C6"/>
    <w:rsid w:val="00010F90"/>
    <w:rsid w:val="000136FB"/>
    <w:rsid w:val="000153D8"/>
    <w:rsid w:val="0001606E"/>
    <w:rsid w:val="000163CB"/>
    <w:rsid w:val="00016C65"/>
    <w:rsid w:val="000175CA"/>
    <w:rsid w:val="00017743"/>
    <w:rsid w:val="000205E0"/>
    <w:rsid w:val="00021C22"/>
    <w:rsid w:val="00024FCA"/>
    <w:rsid w:val="00026C14"/>
    <w:rsid w:val="00030181"/>
    <w:rsid w:val="00031203"/>
    <w:rsid w:val="00031A50"/>
    <w:rsid w:val="0003301D"/>
    <w:rsid w:val="00034BDC"/>
    <w:rsid w:val="000404E3"/>
    <w:rsid w:val="000412F2"/>
    <w:rsid w:val="00041F46"/>
    <w:rsid w:val="00042573"/>
    <w:rsid w:val="00043D0E"/>
    <w:rsid w:val="00043FFC"/>
    <w:rsid w:val="00045B74"/>
    <w:rsid w:val="00045E6F"/>
    <w:rsid w:val="00046DB7"/>
    <w:rsid w:val="000478C1"/>
    <w:rsid w:val="000555EE"/>
    <w:rsid w:val="000569F4"/>
    <w:rsid w:val="000570BD"/>
    <w:rsid w:val="00057D2D"/>
    <w:rsid w:val="00062C91"/>
    <w:rsid w:val="000641C2"/>
    <w:rsid w:val="00065CAE"/>
    <w:rsid w:val="000660F2"/>
    <w:rsid w:val="000724A9"/>
    <w:rsid w:val="000724D7"/>
    <w:rsid w:val="0007319A"/>
    <w:rsid w:val="000737B1"/>
    <w:rsid w:val="00073C77"/>
    <w:rsid w:val="000749A3"/>
    <w:rsid w:val="00074FD1"/>
    <w:rsid w:val="000750A2"/>
    <w:rsid w:val="0007601F"/>
    <w:rsid w:val="00076EF1"/>
    <w:rsid w:val="00077839"/>
    <w:rsid w:val="000815FA"/>
    <w:rsid w:val="000823BB"/>
    <w:rsid w:val="0008264C"/>
    <w:rsid w:val="00082A08"/>
    <w:rsid w:val="00084EE3"/>
    <w:rsid w:val="00087173"/>
    <w:rsid w:val="000872CA"/>
    <w:rsid w:val="0009030A"/>
    <w:rsid w:val="00090D13"/>
    <w:rsid w:val="000954B1"/>
    <w:rsid w:val="00096103"/>
    <w:rsid w:val="000963C7"/>
    <w:rsid w:val="00096CCA"/>
    <w:rsid w:val="000A342B"/>
    <w:rsid w:val="000A52F1"/>
    <w:rsid w:val="000A6D6E"/>
    <w:rsid w:val="000B1143"/>
    <w:rsid w:val="000B3812"/>
    <w:rsid w:val="000B42AE"/>
    <w:rsid w:val="000B55D4"/>
    <w:rsid w:val="000B6F01"/>
    <w:rsid w:val="000C030E"/>
    <w:rsid w:val="000C1265"/>
    <w:rsid w:val="000C13F5"/>
    <w:rsid w:val="000C32B8"/>
    <w:rsid w:val="000C46D8"/>
    <w:rsid w:val="000C47A8"/>
    <w:rsid w:val="000C7878"/>
    <w:rsid w:val="000C7E49"/>
    <w:rsid w:val="000D1B6C"/>
    <w:rsid w:val="000D20FA"/>
    <w:rsid w:val="000D52B1"/>
    <w:rsid w:val="000D5761"/>
    <w:rsid w:val="000D6AFD"/>
    <w:rsid w:val="000D6E80"/>
    <w:rsid w:val="000D7A3D"/>
    <w:rsid w:val="000E02A9"/>
    <w:rsid w:val="000E1D3F"/>
    <w:rsid w:val="000E3FCF"/>
    <w:rsid w:val="000E77EB"/>
    <w:rsid w:val="000E7CCD"/>
    <w:rsid w:val="000F0BD0"/>
    <w:rsid w:val="000F2A0B"/>
    <w:rsid w:val="000F3951"/>
    <w:rsid w:val="000F3BB0"/>
    <w:rsid w:val="000F7FBB"/>
    <w:rsid w:val="0010022D"/>
    <w:rsid w:val="0010271C"/>
    <w:rsid w:val="00104B4C"/>
    <w:rsid w:val="00106CCF"/>
    <w:rsid w:val="001072E3"/>
    <w:rsid w:val="00111C6F"/>
    <w:rsid w:val="00111E7C"/>
    <w:rsid w:val="00112369"/>
    <w:rsid w:val="00112691"/>
    <w:rsid w:val="00113955"/>
    <w:rsid w:val="00113CC5"/>
    <w:rsid w:val="00114169"/>
    <w:rsid w:val="00114310"/>
    <w:rsid w:val="0011459D"/>
    <w:rsid w:val="0011596C"/>
    <w:rsid w:val="00115B5F"/>
    <w:rsid w:val="001168A2"/>
    <w:rsid w:val="00121EAD"/>
    <w:rsid w:val="001222B7"/>
    <w:rsid w:val="0012249D"/>
    <w:rsid w:val="00122AC0"/>
    <w:rsid w:val="001231EA"/>
    <w:rsid w:val="00126DDF"/>
    <w:rsid w:val="001308A7"/>
    <w:rsid w:val="00130E0E"/>
    <w:rsid w:val="001327A5"/>
    <w:rsid w:val="001335E8"/>
    <w:rsid w:val="00133729"/>
    <w:rsid w:val="00137F3A"/>
    <w:rsid w:val="00140130"/>
    <w:rsid w:val="00141DB9"/>
    <w:rsid w:val="00144244"/>
    <w:rsid w:val="001448B5"/>
    <w:rsid w:val="00145227"/>
    <w:rsid w:val="0014563F"/>
    <w:rsid w:val="00146A9F"/>
    <w:rsid w:val="001471B0"/>
    <w:rsid w:val="00150D14"/>
    <w:rsid w:val="0015264B"/>
    <w:rsid w:val="00152FC8"/>
    <w:rsid w:val="001550EE"/>
    <w:rsid w:val="00155449"/>
    <w:rsid w:val="001561CC"/>
    <w:rsid w:val="00160519"/>
    <w:rsid w:val="001625C7"/>
    <w:rsid w:val="00164B8E"/>
    <w:rsid w:val="00170123"/>
    <w:rsid w:val="0017097B"/>
    <w:rsid w:val="00172F88"/>
    <w:rsid w:val="0017385E"/>
    <w:rsid w:val="001742D0"/>
    <w:rsid w:val="00174B74"/>
    <w:rsid w:val="00176390"/>
    <w:rsid w:val="00180334"/>
    <w:rsid w:val="001805D1"/>
    <w:rsid w:val="00181DA6"/>
    <w:rsid w:val="00181E4B"/>
    <w:rsid w:val="0018210D"/>
    <w:rsid w:val="001831C5"/>
    <w:rsid w:val="0018364F"/>
    <w:rsid w:val="001846DE"/>
    <w:rsid w:val="00184C9B"/>
    <w:rsid w:val="0019083C"/>
    <w:rsid w:val="00190852"/>
    <w:rsid w:val="00191E92"/>
    <w:rsid w:val="00192769"/>
    <w:rsid w:val="0019493D"/>
    <w:rsid w:val="00195C94"/>
    <w:rsid w:val="00196004"/>
    <w:rsid w:val="00197CCB"/>
    <w:rsid w:val="001A21A7"/>
    <w:rsid w:val="001A3D13"/>
    <w:rsid w:val="001A6C9C"/>
    <w:rsid w:val="001B0194"/>
    <w:rsid w:val="001B05F9"/>
    <w:rsid w:val="001B0EB2"/>
    <w:rsid w:val="001B25E7"/>
    <w:rsid w:val="001B43D9"/>
    <w:rsid w:val="001B4FDB"/>
    <w:rsid w:val="001B723C"/>
    <w:rsid w:val="001B7AA6"/>
    <w:rsid w:val="001D11AA"/>
    <w:rsid w:val="001D155F"/>
    <w:rsid w:val="001D2FF3"/>
    <w:rsid w:val="001D3F99"/>
    <w:rsid w:val="001D402B"/>
    <w:rsid w:val="001D5B33"/>
    <w:rsid w:val="001D7622"/>
    <w:rsid w:val="001E10C7"/>
    <w:rsid w:val="001E3ADD"/>
    <w:rsid w:val="001E3E22"/>
    <w:rsid w:val="001E5B41"/>
    <w:rsid w:val="001E60DB"/>
    <w:rsid w:val="001E6D68"/>
    <w:rsid w:val="001E78A9"/>
    <w:rsid w:val="001F4059"/>
    <w:rsid w:val="001F40B6"/>
    <w:rsid w:val="001F41B8"/>
    <w:rsid w:val="001F508E"/>
    <w:rsid w:val="001F6D13"/>
    <w:rsid w:val="001F77C6"/>
    <w:rsid w:val="001F7E21"/>
    <w:rsid w:val="00200363"/>
    <w:rsid w:val="00203F96"/>
    <w:rsid w:val="002058F0"/>
    <w:rsid w:val="00206180"/>
    <w:rsid w:val="00206C45"/>
    <w:rsid w:val="00207D2D"/>
    <w:rsid w:val="00216DB1"/>
    <w:rsid w:val="0021744E"/>
    <w:rsid w:val="00221E06"/>
    <w:rsid w:val="00221E09"/>
    <w:rsid w:val="00224FBD"/>
    <w:rsid w:val="00225E15"/>
    <w:rsid w:val="0023075B"/>
    <w:rsid w:val="00234157"/>
    <w:rsid w:val="00234D3E"/>
    <w:rsid w:val="00235941"/>
    <w:rsid w:val="00242AAF"/>
    <w:rsid w:val="002454E7"/>
    <w:rsid w:val="002460AA"/>
    <w:rsid w:val="002469F0"/>
    <w:rsid w:val="00246E18"/>
    <w:rsid w:val="002525E0"/>
    <w:rsid w:val="00253F89"/>
    <w:rsid w:val="002542A0"/>
    <w:rsid w:val="00254BBF"/>
    <w:rsid w:val="00255789"/>
    <w:rsid w:val="00261392"/>
    <w:rsid w:val="00263181"/>
    <w:rsid w:val="00263E70"/>
    <w:rsid w:val="002646A2"/>
    <w:rsid w:val="00265D89"/>
    <w:rsid w:val="00266834"/>
    <w:rsid w:val="00266D4D"/>
    <w:rsid w:val="00270B64"/>
    <w:rsid w:val="00271B24"/>
    <w:rsid w:val="00273028"/>
    <w:rsid w:val="00275BC8"/>
    <w:rsid w:val="0027630D"/>
    <w:rsid w:val="0027793D"/>
    <w:rsid w:val="002779CD"/>
    <w:rsid w:val="002802F9"/>
    <w:rsid w:val="0028080E"/>
    <w:rsid w:val="00280B28"/>
    <w:rsid w:val="00284566"/>
    <w:rsid w:val="0028641D"/>
    <w:rsid w:val="0028722E"/>
    <w:rsid w:val="00296A62"/>
    <w:rsid w:val="00296FFC"/>
    <w:rsid w:val="0029754A"/>
    <w:rsid w:val="002979E4"/>
    <w:rsid w:val="002A0C0E"/>
    <w:rsid w:val="002A31DC"/>
    <w:rsid w:val="002A3EAC"/>
    <w:rsid w:val="002A6A97"/>
    <w:rsid w:val="002B056C"/>
    <w:rsid w:val="002B4C60"/>
    <w:rsid w:val="002B659F"/>
    <w:rsid w:val="002B7691"/>
    <w:rsid w:val="002C1370"/>
    <w:rsid w:val="002C22AA"/>
    <w:rsid w:val="002C35B6"/>
    <w:rsid w:val="002C381D"/>
    <w:rsid w:val="002C6B89"/>
    <w:rsid w:val="002C7119"/>
    <w:rsid w:val="002C7D46"/>
    <w:rsid w:val="002D11A4"/>
    <w:rsid w:val="002D2678"/>
    <w:rsid w:val="002D37D2"/>
    <w:rsid w:val="002D519B"/>
    <w:rsid w:val="002D591E"/>
    <w:rsid w:val="002D5A4C"/>
    <w:rsid w:val="002E0744"/>
    <w:rsid w:val="002E192A"/>
    <w:rsid w:val="002E2D22"/>
    <w:rsid w:val="002E3D6C"/>
    <w:rsid w:val="002E49D1"/>
    <w:rsid w:val="002E55A5"/>
    <w:rsid w:val="002E55ED"/>
    <w:rsid w:val="002E72B5"/>
    <w:rsid w:val="002E744F"/>
    <w:rsid w:val="002F1540"/>
    <w:rsid w:val="002F353B"/>
    <w:rsid w:val="002F5094"/>
    <w:rsid w:val="0030210B"/>
    <w:rsid w:val="00302B4F"/>
    <w:rsid w:val="003041EA"/>
    <w:rsid w:val="00306CE1"/>
    <w:rsid w:val="00306DD6"/>
    <w:rsid w:val="003071D4"/>
    <w:rsid w:val="00307A6B"/>
    <w:rsid w:val="003124B3"/>
    <w:rsid w:val="00312B23"/>
    <w:rsid w:val="00312E8D"/>
    <w:rsid w:val="00312F5E"/>
    <w:rsid w:val="00314641"/>
    <w:rsid w:val="00314679"/>
    <w:rsid w:val="00316771"/>
    <w:rsid w:val="003225A7"/>
    <w:rsid w:val="00322A18"/>
    <w:rsid w:val="003233CD"/>
    <w:rsid w:val="00324F02"/>
    <w:rsid w:val="0032574A"/>
    <w:rsid w:val="0032719A"/>
    <w:rsid w:val="00327535"/>
    <w:rsid w:val="00327ECB"/>
    <w:rsid w:val="00331084"/>
    <w:rsid w:val="00331E85"/>
    <w:rsid w:val="00333478"/>
    <w:rsid w:val="0033560E"/>
    <w:rsid w:val="00336F23"/>
    <w:rsid w:val="00337E8D"/>
    <w:rsid w:val="00337F97"/>
    <w:rsid w:val="00341CB8"/>
    <w:rsid w:val="003478AE"/>
    <w:rsid w:val="00347B1F"/>
    <w:rsid w:val="00350286"/>
    <w:rsid w:val="00355C7B"/>
    <w:rsid w:val="00355E59"/>
    <w:rsid w:val="00356964"/>
    <w:rsid w:val="00357101"/>
    <w:rsid w:val="00357658"/>
    <w:rsid w:val="003603A6"/>
    <w:rsid w:val="00360F14"/>
    <w:rsid w:val="003625A2"/>
    <w:rsid w:val="003638EF"/>
    <w:rsid w:val="003642FA"/>
    <w:rsid w:val="0036474F"/>
    <w:rsid w:val="00366B03"/>
    <w:rsid w:val="0037319F"/>
    <w:rsid w:val="003731B0"/>
    <w:rsid w:val="00374B0C"/>
    <w:rsid w:val="003757A9"/>
    <w:rsid w:val="00375944"/>
    <w:rsid w:val="003776D6"/>
    <w:rsid w:val="003823C2"/>
    <w:rsid w:val="00384799"/>
    <w:rsid w:val="00386250"/>
    <w:rsid w:val="00386D5E"/>
    <w:rsid w:val="003911EA"/>
    <w:rsid w:val="00397AD5"/>
    <w:rsid w:val="00397D5F"/>
    <w:rsid w:val="003A0580"/>
    <w:rsid w:val="003A1D30"/>
    <w:rsid w:val="003A1FBC"/>
    <w:rsid w:val="003A2B58"/>
    <w:rsid w:val="003A7377"/>
    <w:rsid w:val="003A74A5"/>
    <w:rsid w:val="003B087D"/>
    <w:rsid w:val="003B0E2E"/>
    <w:rsid w:val="003B1017"/>
    <w:rsid w:val="003B1602"/>
    <w:rsid w:val="003B5418"/>
    <w:rsid w:val="003C2C68"/>
    <w:rsid w:val="003C60FB"/>
    <w:rsid w:val="003C7094"/>
    <w:rsid w:val="003D29E9"/>
    <w:rsid w:val="003D6DF8"/>
    <w:rsid w:val="003E20AC"/>
    <w:rsid w:val="003E230B"/>
    <w:rsid w:val="003E3EFF"/>
    <w:rsid w:val="003E4049"/>
    <w:rsid w:val="003E6457"/>
    <w:rsid w:val="003E76FD"/>
    <w:rsid w:val="003E77E6"/>
    <w:rsid w:val="003F0318"/>
    <w:rsid w:val="003F4168"/>
    <w:rsid w:val="003F57D7"/>
    <w:rsid w:val="003F60AD"/>
    <w:rsid w:val="003F736F"/>
    <w:rsid w:val="003F7D22"/>
    <w:rsid w:val="00400AF6"/>
    <w:rsid w:val="00400B41"/>
    <w:rsid w:val="0040364A"/>
    <w:rsid w:val="00403A3A"/>
    <w:rsid w:val="00404398"/>
    <w:rsid w:val="00404A8E"/>
    <w:rsid w:val="00404C31"/>
    <w:rsid w:val="00411E3F"/>
    <w:rsid w:val="004130D9"/>
    <w:rsid w:val="004208D9"/>
    <w:rsid w:val="00421805"/>
    <w:rsid w:val="00423355"/>
    <w:rsid w:val="00424FA8"/>
    <w:rsid w:val="004259F7"/>
    <w:rsid w:val="00430197"/>
    <w:rsid w:val="00432F21"/>
    <w:rsid w:val="00433217"/>
    <w:rsid w:val="00434CB8"/>
    <w:rsid w:val="00435B2C"/>
    <w:rsid w:val="0043605D"/>
    <w:rsid w:val="00437AE7"/>
    <w:rsid w:val="004404E1"/>
    <w:rsid w:val="0044057D"/>
    <w:rsid w:val="00441DB1"/>
    <w:rsid w:val="004434BD"/>
    <w:rsid w:val="00444158"/>
    <w:rsid w:val="00444404"/>
    <w:rsid w:val="004446E4"/>
    <w:rsid w:val="00447018"/>
    <w:rsid w:val="00450742"/>
    <w:rsid w:val="004508B3"/>
    <w:rsid w:val="00453573"/>
    <w:rsid w:val="004541FE"/>
    <w:rsid w:val="0045767F"/>
    <w:rsid w:val="00462976"/>
    <w:rsid w:val="00462BAF"/>
    <w:rsid w:val="004641AF"/>
    <w:rsid w:val="00464F9E"/>
    <w:rsid w:val="00466016"/>
    <w:rsid w:val="004667DD"/>
    <w:rsid w:val="004736B3"/>
    <w:rsid w:val="00473D63"/>
    <w:rsid w:val="00474353"/>
    <w:rsid w:val="00475222"/>
    <w:rsid w:val="00477EA7"/>
    <w:rsid w:val="004809AA"/>
    <w:rsid w:val="004815A5"/>
    <w:rsid w:val="00482FA8"/>
    <w:rsid w:val="00483083"/>
    <w:rsid w:val="004830C1"/>
    <w:rsid w:val="004833D0"/>
    <w:rsid w:val="004847FC"/>
    <w:rsid w:val="00484D6F"/>
    <w:rsid w:val="004901FE"/>
    <w:rsid w:val="00490E19"/>
    <w:rsid w:val="00494AFE"/>
    <w:rsid w:val="004950C2"/>
    <w:rsid w:val="0049675F"/>
    <w:rsid w:val="00497AB5"/>
    <w:rsid w:val="004A07D3"/>
    <w:rsid w:val="004A1572"/>
    <w:rsid w:val="004A285D"/>
    <w:rsid w:val="004A3E05"/>
    <w:rsid w:val="004A59B2"/>
    <w:rsid w:val="004A59C9"/>
    <w:rsid w:val="004A60F3"/>
    <w:rsid w:val="004A73B0"/>
    <w:rsid w:val="004A7A14"/>
    <w:rsid w:val="004B2149"/>
    <w:rsid w:val="004B49D3"/>
    <w:rsid w:val="004B58B8"/>
    <w:rsid w:val="004B6C3E"/>
    <w:rsid w:val="004B6FA9"/>
    <w:rsid w:val="004C253D"/>
    <w:rsid w:val="004C2F96"/>
    <w:rsid w:val="004C4B03"/>
    <w:rsid w:val="004C53EA"/>
    <w:rsid w:val="004C68D7"/>
    <w:rsid w:val="004D1D4B"/>
    <w:rsid w:val="004D50E4"/>
    <w:rsid w:val="004D6547"/>
    <w:rsid w:val="004D6A13"/>
    <w:rsid w:val="004E0DB5"/>
    <w:rsid w:val="004E1F4D"/>
    <w:rsid w:val="004E2379"/>
    <w:rsid w:val="004E326E"/>
    <w:rsid w:val="004E44BD"/>
    <w:rsid w:val="004E4A9B"/>
    <w:rsid w:val="004E62C0"/>
    <w:rsid w:val="004E7140"/>
    <w:rsid w:val="004F293F"/>
    <w:rsid w:val="004F2AB1"/>
    <w:rsid w:val="004F33A5"/>
    <w:rsid w:val="004F7C74"/>
    <w:rsid w:val="00503B0A"/>
    <w:rsid w:val="00505B6D"/>
    <w:rsid w:val="00506200"/>
    <w:rsid w:val="00506DA9"/>
    <w:rsid w:val="00507753"/>
    <w:rsid w:val="005102DD"/>
    <w:rsid w:val="00510301"/>
    <w:rsid w:val="0051116E"/>
    <w:rsid w:val="005154D5"/>
    <w:rsid w:val="005159F6"/>
    <w:rsid w:val="005161AF"/>
    <w:rsid w:val="005166E5"/>
    <w:rsid w:val="00516D0F"/>
    <w:rsid w:val="00517058"/>
    <w:rsid w:val="00520AD1"/>
    <w:rsid w:val="00520B3E"/>
    <w:rsid w:val="0052191B"/>
    <w:rsid w:val="00521F58"/>
    <w:rsid w:val="00522DE3"/>
    <w:rsid w:val="00523671"/>
    <w:rsid w:val="00524585"/>
    <w:rsid w:val="005246C6"/>
    <w:rsid w:val="00524D54"/>
    <w:rsid w:val="00527012"/>
    <w:rsid w:val="00534061"/>
    <w:rsid w:val="00536372"/>
    <w:rsid w:val="00537110"/>
    <w:rsid w:val="0053790C"/>
    <w:rsid w:val="00537BA6"/>
    <w:rsid w:val="00540912"/>
    <w:rsid w:val="00541F1E"/>
    <w:rsid w:val="00542761"/>
    <w:rsid w:val="00547E92"/>
    <w:rsid w:val="00550720"/>
    <w:rsid w:val="00551371"/>
    <w:rsid w:val="00551542"/>
    <w:rsid w:val="005524A3"/>
    <w:rsid w:val="00552A15"/>
    <w:rsid w:val="00553280"/>
    <w:rsid w:val="00553E98"/>
    <w:rsid w:val="00554BCA"/>
    <w:rsid w:val="00555DA7"/>
    <w:rsid w:val="005612E5"/>
    <w:rsid w:val="0056185E"/>
    <w:rsid w:val="005643E2"/>
    <w:rsid w:val="00564776"/>
    <w:rsid w:val="005675BB"/>
    <w:rsid w:val="005716C2"/>
    <w:rsid w:val="00571DD2"/>
    <w:rsid w:val="00571E40"/>
    <w:rsid w:val="005733E4"/>
    <w:rsid w:val="005735F2"/>
    <w:rsid w:val="00573914"/>
    <w:rsid w:val="005754A5"/>
    <w:rsid w:val="00576914"/>
    <w:rsid w:val="0057722D"/>
    <w:rsid w:val="00580B27"/>
    <w:rsid w:val="00584911"/>
    <w:rsid w:val="00584A1E"/>
    <w:rsid w:val="00585F42"/>
    <w:rsid w:val="00586182"/>
    <w:rsid w:val="00587875"/>
    <w:rsid w:val="005904CE"/>
    <w:rsid w:val="0059178A"/>
    <w:rsid w:val="00593711"/>
    <w:rsid w:val="00595436"/>
    <w:rsid w:val="005958C8"/>
    <w:rsid w:val="005969C3"/>
    <w:rsid w:val="0059772A"/>
    <w:rsid w:val="0059788C"/>
    <w:rsid w:val="005A1248"/>
    <w:rsid w:val="005A3A05"/>
    <w:rsid w:val="005A660D"/>
    <w:rsid w:val="005A6C36"/>
    <w:rsid w:val="005A7823"/>
    <w:rsid w:val="005B3E63"/>
    <w:rsid w:val="005C0B68"/>
    <w:rsid w:val="005C2129"/>
    <w:rsid w:val="005C3C45"/>
    <w:rsid w:val="005C3DAC"/>
    <w:rsid w:val="005C5B16"/>
    <w:rsid w:val="005C5CFA"/>
    <w:rsid w:val="005C75A4"/>
    <w:rsid w:val="005D72B4"/>
    <w:rsid w:val="005E413F"/>
    <w:rsid w:val="005E4B57"/>
    <w:rsid w:val="005E66F1"/>
    <w:rsid w:val="005F1849"/>
    <w:rsid w:val="005F3E17"/>
    <w:rsid w:val="005F48C5"/>
    <w:rsid w:val="005F541C"/>
    <w:rsid w:val="005F68A9"/>
    <w:rsid w:val="005F7AE9"/>
    <w:rsid w:val="00604396"/>
    <w:rsid w:val="00604E09"/>
    <w:rsid w:val="00605A1F"/>
    <w:rsid w:val="00610420"/>
    <w:rsid w:val="00610C1F"/>
    <w:rsid w:val="0062009F"/>
    <w:rsid w:val="006206B5"/>
    <w:rsid w:val="00620ED5"/>
    <w:rsid w:val="006210B2"/>
    <w:rsid w:val="00622A4D"/>
    <w:rsid w:val="00623FA6"/>
    <w:rsid w:val="0062630C"/>
    <w:rsid w:val="00631769"/>
    <w:rsid w:val="0063284A"/>
    <w:rsid w:val="006330A8"/>
    <w:rsid w:val="006333E4"/>
    <w:rsid w:val="0063630C"/>
    <w:rsid w:val="00636A1F"/>
    <w:rsid w:val="00637188"/>
    <w:rsid w:val="0064076B"/>
    <w:rsid w:val="00645B57"/>
    <w:rsid w:val="0064673B"/>
    <w:rsid w:val="00646B9E"/>
    <w:rsid w:val="00646C61"/>
    <w:rsid w:val="00646F56"/>
    <w:rsid w:val="00651249"/>
    <w:rsid w:val="00651E61"/>
    <w:rsid w:val="00652BF6"/>
    <w:rsid w:val="00657FDE"/>
    <w:rsid w:val="0066185A"/>
    <w:rsid w:val="00661FDE"/>
    <w:rsid w:val="00662A78"/>
    <w:rsid w:val="00665B0E"/>
    <w:rsid w:val="00667EB3"/>
    <w:rsid w:val="00675192"/>
    <w:rsid w:val="006766A9"/>
    <w:rsid w:val="00677C06"/>
    <w:rsid w:val="00683952"/>
    <w:rsid w:val="00684D63"/>
    <w:rsid w:val="006865AB"/>
    <w:rsid w:val="00687279"/>
    <w:rsid w:val="0069206F"/>
    <w:rsid w:val="00694037"/>
    <w:rsid w:val="00694176"/>
    <w:rsid w:val="0069634E"/>
    <w:rsid w:val="006A03BF"/>
    <w:rsid w:val="006A05D1"/>
    <w:rsid w:val="006A0BCA"/>
    <w:rsid w:val="006A0BF0"/>
    <w:rsid w:val="006A1536"/>
    <w:rsid w:val="006A2E75"/>
    <w:rsid w:val="006A30E8"/>
    <w:rsid w:val="006A3A8A"/>
    <w:rsid w:val="006A5A43"/>
    <w:rsid w:val="006A6939"/>
    <w:rsid w:val="006A739F"/>
    <w:rsid w:val="006A79D9"/>
    <w:rsid w:val="006B014E"/>
    <w:rsid w:val="006B1A83"/>
    <w:rsid w:val="006B2D23"/>
    <w:rsid w:val="006B4A46"/>
    <w:rsid w:val="006B4EFC"/>
    <w:rsid w:val="006B5EAF"/>
    <w:rsid w:val="006C2B58"/>
    <w:rsid w:val="006C4604"/>
    <w:rsid w:val="006D1E74"/>
    <w:rsid w:val="006D4ADF"/>
    <w:rsid w:val="006D5449"/>
    <w:rsid w:val="006D730D"/>
    <w:rsid w:val="006D744A"/>
    <w:rsid w:val="006E064B"/>
    <w:rsid w:val="006E2995"/>
    <w:rsid w:val="006E499D"/>
    <w:rsid w:val="006E5070"/>
    <w:rsid w:val="006E69D0"/>
    <w:rsid w:val="006F6766"/>
    <w:rsid w:val="006F784C"/>
    <w:rsid w:val="00700901"/>
    <w:rsid w:val="00701E3E"/>
    <w:rsid w:val="00702292"/>
    <w:rsid w:val="00702B7B"/>
    <w:rsid w:val="00704EA8"/>
    <w:rsid w:val="0071558B"/>
    <w:rsid w:val="00716007"/>
    <w:rsid w:val="0071718A"/>
    <w:rsid w:val="00717541"/>
    <w:rsid w:val="00722E51"/>
    <w:rsid w:val="007244CF"/>
    <w:rsid w:val="007249CD"/>
    <w:rsid w:val="00730DB9"/>
    <w:rsid w:val="00731B83"/>
    <w:rsid w:val="00732E3E"/>
    <w:rsid w:val="00735B0A"/>
    <w:rsid w:val="00737509"/>
    <w:rsid w:val="0074045E"/>
    <w:rsid w:val="00740CCC"/>
    <w:rsid w:val="007411FA"/>
    <w:rsid w:val="00742E2F"/>
    <w:rsid w:val="0074355D"/>
    <w:rsid w:val="007449A5"/>
    <w:rsid w:val="00744CC8"/>
    <w:rsid w:val="00746175"/>
    <w:rsid w:val="00746D52"/>
    <w:rsid w:val="00747021"/>
    <w:rsid w:val="00750D88"/>
    <w:rsid w:val="00752FD0"/>
    <w:rsid w:val="00753DF3"/>
    <w:rsid w:val="007570E1"/>
    <w:rsid w:val="00757492"/>
    <w:rsid w:val="00762A69"/>
    <w:rsid w:val="0076328A"/>
    <w:rsid w:val="00764195"/>
    <w:rsid w:val="00765304"/>
    <w:rsid w:val="00766480"/>
    <w:rsid w:val="007669F9"/>
    <w:rsid w:val="00770561"/>
    <w:rsid w:val="007709FE"/>
    <w:rsid w:val="00770D8F"/>
    <w:rsid w:val="00771ED3"/>
    <w:rsid w:val="00772E89"/>
    <w:rsid w:val="00773DD3"/>
    <w:rsid w:val="00775CF4"/>
    <w:rsid w:val="007763E2"/>
    <w:rsid w:val="007772BD"/>
    <w:rsid w:val="00777CD9"/>
    <w:rsid w:val="00777E78"/>
    <w:rsid w:val="00780902"/>
    <w:rsid w:val="00780D7A"/>
    <w:rsid w:val="007838A8"/>
    <w:rsid w:val="0079115D"/>
    <w:rsid w:val="007915F8"/>
    <w:rsid w:val="00791E28"/>
    <w:rsid w:val="00793045"/>
    <w:rsid w:val="0079377E"/>
    <w:rsid w:val="00795ADF"/>
    <w:rsid w:val="00795B8D"/>
    <w:rsid w:val="00796FD7"/>
    <w:rsid w:val="007A05D0"/>
    <w:rsid w:val="007A0E71"/>
    <w:rsid w:val="007A1AC2"/>
    <w:rsid w:val="007A6577"/>
    <w:rsid w:val="007A70B1"/>
    <w:rsid w:val="007A7ABA"/>
    <w:rsid w:val="007B0877"/>
    <w:rsid w:val="007B24C9"/>
    <w:rsid w:val="007B6CD9"/>
    <w:rsid w:val="007B7B35"/>
    <w:rsid w:val="007C133E"/>
    <w:rsid w:val="007C26D0"/>
    <w:rsid w:val="007C2D0C"/>
    <w:rsid w:val="007D10C9"/>
    <w:rsid w:val="007D276D"/>
    <w:rsid w:val="007D2951"/>
    <w:rsid w:val="007D5281"/>
    <w:rsid w:val="007D6171"/>
    <w:rsid w:val="007E30DB"/>
    <w:rsid w:val="007E3CA2"/>
    <w:rsid w:val="007E442D"/>
    <w:rsid w:val="007E50AC"/>
    <w:rsid w:val="007E6E35"/>
    <w:rsid w:val="007E7CE5"/>
    <w:rsid w:val="007E7EA7"/>
    <w:rsid w:val="007F0664"/>
    <w:rsid w:val="007F0F28"/>
    <w:rsid w:val="007F1132"/>
    <w:rsid w:val="007F19FB"/>
    <w:rsid w:val="007F365C"/>
    <w:rsid w:val="007F3C79"/>
    <w:rsid w:val="007F45B4"/>
    <w:rsid w:val="007F4811"/>
    <w:rsid w:val="007F567A"/>
    <w:rsid w:val="007F59B7"/>
    <w:rsid w:val="007F5A92"/>
    <w:rsid w:val="007F7537"/>
    <w:rsid w:val="007F75C6"/>
    <w:rsid w:val="00800334"/>
    <w:rsid w:val="00801445"/>
    <w:rsid w:val="00801487"/>
    <w:rsid w:val="0080187C"/>
    <w:rsid w:val="00804AF9"/>
    <w:rsid w:val="00805A09"/>
    <w:rsid w:val="00805BF7"/>
    <w:rsid w:val="0081102A"/>
    <w:rsid w:val="008112CA"/>
    <w:rsid w:val="00813A21"/>
    <w:rsid w:val="00814C94"/>
    <w:rsid w:val="00821BD2"/>
    <w:rsid w:val="00823ADA"/>
    <w:rsid w:val="00826A07"/>
    <w:rsid w:val="0083047A"/>
    <w:rsid w:val="008308E0"/>
    <w:rsid w:val="00830EA7"/>
    <w:rsid w:val="00831ECF"/>
    <w:rsid w:val="0083370C"/>
    <w:rsid w:val="00833F7F"/>
    <w:rsid w:val="008342D5"/>
    <w:rsid w:val="00837A53"/>
    <w:rsid w:val="00837DD7"/>
    <w:rsid w:val="00841C13"/>
    <w:rsid w:val="008435C9"/>
    <w:rsid w:val="00844F08"/>
    <w:rsid w:val="00845EB6"/>
    <w:rsid w:val="00846274"/>
    <w:rsid w:val="00847105"/>
    <w:rsid w:val="0085039E"/>
    <w:rsid w:val="00851A35"/>
    <w:rsid w:val="008535F0"/>
    <w:rsid w:val="00854385"/>
    <w:rsid w:val="00855706"/>
    <w:rsid w:val="00856CD1"/>
    <w:rsid w:val="0086062A"/>
    <w:rsid w:val="008636A1"/>
    <w:rsid w:val="0086565A"/>
    <w:rsid w:val="00865CDA"/>
    <w:rsid w:val="00866D8A"/>
    <w:rsid w:val="0087030B"/>
    <w:rsid w:val="00870AF9"/>
    <w:rsid w:val="00870F08"/>
    <w:rsid w:val="00871DCC"/>
    <w:rsid w:val="00874B17"/>
    <w:rsid w:val="00874CC7"/>
    <w:rsid w:val="00874D50"/>
    <w:rsid w:val="008751BB"/>
    <w:rsid w:val="00876E24"/>
    <w:rsid w:val="008817C5"/>
    <w:rsid w:val="00882080"/>
    <w:rsid w:val="00882D5F"/>
    <w:rsid w:val="00885B83"/>
    <w:rsid w:val="00885B94"/>
    <w:rsid w:val="00887062"/>
    <w:rsid w:val="008917EF"/>
    <w:rsid w:val="00891F09"/>
    <w:rsid w:val="00891F36"/>
    <w:rsid w:val="0089275E"/>
    <w:rsid w:val="008964EB"/>
    <w:rsid w:val="00896BCB"/>
    <w:rsid w:val="008A185B"/>
    <w:rsid w:val="008A1F5B"/>
    <w:rsid w:val="008A2787"/>
    <w:rsid w:val="008A5986"/>
    <w:rsid w:val="008A7882"/>
    <w:rsid w:val="008B12C6"/>
    <w:rsid w:val="008B1596"/>
    <w:rsid w:val="008B3A17"/>
    <w:rsid w:val="008B6EF8"/>
    <w:rsid w:val="008B7FE7"/>
    <w:rsid w:val="008C02F8"/>
    <w:rsid w:val="008C1F56"/>
    <w:rsid w:val="008C4008"/>
    <w:rsid w:val="008C538F"/>
    <w:rsid w:val="008C5E12"/>
    <w:rsid w:val="008D08F3"/>
    <w:rsid w:val="008D29B4"/>
    <w:rsid w:val="008D4FF2"/>
    <w:rsid w:val="008E1B45"/>
    <w:rsid w:val="008E395C"/>
    <w:rsid w:val="008E415A"/>
    <w:rsid w:val="008E43AD"/>
    <w:rsid w:val="008E559E"/>
    <w:rsid w:val="008E63A2"/>
    <w:rsid w:val="008F00A6"/>
    <w:rsid w:val="008F0B83"/>
    <w:rsid w:val="008F2065"/>
    <w:rsid w:val="008F2A1A"/>
    <w:rsid w:val="009002E2"/>
    <w:rsid w:val="00900AA6"/>
    <w:rsid w:val="00906704"/>
    <w:rsid w:val="00910E71"/>
    <w:rsid w:val="00911784"/>
    <w:rsid w:val="00912376"/>
    <w:rsid w:val="00913AAF"/>
    <w:rsid w:val="00915654"/>
    <w:rsid w:val="00917405"/>
    <w:rsid w:val="00920135"/>
    <w:rsid w:val="009201BA"/>
    <w:rsid w:val="00921F40"/>
    <w:rsid w:val="0092480B"/>
    <w:rsid w:val="009248C2"/>
    <w:rsid w:val="00926A58"/>
    <w:rsid w:val="00926BEE"/>
    <w:rsid w:val="00933A6E"/>
    <w:rsid w:val="0093451D"/>
    <w:rsid w:val="00935115"/>
    <w:rsid w:val="00935C28"/>
    <w:rsid w:val="00935C92"/>
    <w:rsid w:val="009371A5"/>
    <w:rsid w:val="0094150F"/>
    <w:rsid w:val="00941648"/>
    <w:rsid w:val="00941E6C"/>
    <w:rsid w:val="00943255"/>
    <w:rsid w:val="0094707B"/>
    <w:rsid w:val="00947860"/>
    <w:rsid w:val="00951428"/>
    <w:rsid w:val="00955384"/>
    <w:rsid w:val="00962F51"/>
    <w:rsid w:val="00964750"/>
    <w:rsid w:val="00970BE3"/>
    <w:rsid w:val="009715DE"/>
    <w:rsid w:val="00971F4B"/>
    <w:rsid w:val="00974005"/>
    <w:rsid w:val="009755FE"/>
    <w:rsid w:val="00976E12"/>
    <w:rsid w:val="0098023A"/>
    <w:rsid w:val="009815CA"/>
    <w:rsid w:val="009847E3"/>
    <w:rsid w:val="00985797"/>
    <w:rsid w:val="00986A5A"/>
    <w:rsid w:val="00986D98"/>
    <w:rsid w:val="0099187B"/>
    <w:rsid w:val="00992AB3"/>
    <w:rsid w:val="00992DD7"/>
    <w:rsid w:val="00994D01"/>
    <w:rsid w:val="00996CA8"/>
    <w:rsid w:val="0099764F"/>
    <w:rsid w:val="00997716"/>
    <w:rsid w:val="00997B62"/>
    <w:rsid w:val="009A00E4"/>
    <w:rsid w:val="009A0546"/>
    <w:rsid w:val="009A265B"/>
    <w:rsid w:val="009A6B41"/>
    <w:rsid w:val="009A7375"/>
    <w:rsid w:val="009B1A5A"/>
    <w:rsid w:val="009B4D57"/>
    <w:rsid w:val="009B6487"/>
    <w:rsid w:val="009B6540"/>
    <w:rsid w:val="009C0B35"/>
    <w:rsid w:val="009C16CA"/>
    <w:rsid w:val="009C2701"/>
    <w:rsid w:val="009C567F"/>
    <w:rsid w:val="009C6A97"/>
    <w:rsid w:val="009D03F6"/>
    <w:rsid w:val="009D17AD"/>
    <w:rsid w:val="009D27FE"/>
    <w:rsid w:val="009D2DE1"/>
    <w:rsid w:val="009D360C"/>
    <w:rsid w:val="009D423E"/>
    <w:rsid w:val="009D5232"/>
    <w:rsid w:val="009D532D"/>
    <w:rsid w:val="009D53DA"/>
    <w:rsid w:val="009D5F03"/>
    <w:rsid w:val="009D67D2"/>
    <w:rsid w:val="009E2F44"/>
    <w:rsid w:val="009E30FE"/>
    <w:rsid w:val="009E5736"/>
    <w:rsid w:val="009F21C6"/>
    <w:rsid w:val="009F2B96"/>
    <w:rsid w:val="009F2F7B"/>
    <w:rsid w:val="009F3205"/>
    <w:rsid w:val="009F420B"/>
    <w:rsid w:val="009F4A1E"/>
    <w:rsid w:val="009F4A2C"/>
    <w:rsid w:val="009F4D59"/>
    <w:rsid w:val="009F4F55"/>
    <w:rsid w:val="009F6FD7"/>
    <w:rsid w:val="00A00402"/>
    <w:rsid w:val="00A00931"/>
    <w:rsid w:val="00A01813"/>
    <w:rsid w:val="00A019F7"/>
    <w:rsid w:val="00A03FDC"/>
    <w:rsid w:val="00A100AC"/>
    <w:rsid w:val="00A107DD"/>
    <w:rsid w:val="00A12F1E"/>
    <w:rsid w:val="00A13328"/>
    <w:rsid w:val="00A1386C"/>
    <w:rsid w:val="00A17AAA"/>
    <w:rsid w:val="00A20948"/>
    <w:rsid w:val="00A211B1"/>
    <w:rsid w:val="00A2196B"/>
    <w:rsid w:val="00A23832"/>
    <w:rsid w:val="00A25619"/>
    <w:rsid w:val="00A30308"/>
    <w:rsid w:val="00A30BA1"/>
    <w:rsid w:val="00A326ED"/>
    <w:rsid w:val="00A33B6B"/>
    <w:rsid w:val="00A34C7C"/>
    <w:rsid w:val="00A3660B"/>
    <w:rsid w:val="00A36B5F"/>
    <w:rsid w:val="00A37226"/>
    <w:rsid w:val="00A37489"/>
    <w:rsid w:val="00A41B14"/>
    <w:rsid w:val="00A43255"/>
    <w:rsid w:val="00A439AD"/>
    <w:rsid w:val="00A450C2"/>
    <w:rsid w:val="00A45811"/>
    <w:rsid w:val="00A50DA0"/>
    <w:rsid w:val="00A51028"/>
    <w:rsid w:val="00A51442"/>
    <w:rsid w:val="00A517E7"/>
    <w:rsid w:val="00A5194B"/>
    <w:rsid w:val="00A52F5B"/>
    <w:rsid w:val="00A52F92"/>
    <w:rsid w:val="00A566D8"/>
    <w:rsid w:val="00A56772"/>
    <w:rsid w:val="00A65D4F"/>
    <w:rsid w:val="00A67162"/>
    <w:rsid w:val="00A70455"/>
    <w:rsid w:val="00A7280C"/>
    <w:rsid w:val="00A76DFD"/>
    <w:rsid w:val="00A77E54"/>
    <w:rsid w:val="00A82B24"/>
    <w:rsid w:val="00A9306D"/>
    <w:rsid w:val="00A93C40"/>
    <w:rsid w:val="00A943C0"/>
    <w:rsid w:val="00A94ADD"/>
    <w:rsid w:val="00A950E1"/>
    <w:rsid w:val="00A955DA"/>
    <w:rsid w:val="00A959D8"/>
    <w:rsid w:val="00A95BE3"/>
    <w:rsid w:val="00A970B7"/>
    <w:rsid w:val="00AA3305"/>
    <w:rsid w:val="00AA38BC"/>
    <w:rsid w:val="00AA56CD"/>
    <w:rsid w:val="00AA5DA6"/>
    <w:rsid w:val="00AA6DBE"/>
    <w:rsid w:val="00AB0522"/>
    <w:rsid w:val="00AB07FD"/>
    <w:rsid w:val="00AB1214"/>
    <w:rsid w:val="00AB1EBE"/>
    <w:rsid w:val="00AB36E0"/>
    <w:rsid w:val="00AB713A"/>
    <w:rsid w:val="00AC6476"/>
    <w:rsid w:val="00AC7FD5"/>
    <w:rsid w:val="00AE2408"/>
    <w:rsid w:val="00AE7C87"/>
    <w:rsid w:val="00AE7F45"/>
    <w:rsid w:val="00AF024B"/>
    <w:rsid w:val="00AF0C1D"/>
    <w:rsid w:val="00AF154A"/>
    <w:rsid w:val="00AF3019"/>
    <w:rsid w:val="00AF537C"/>
    <w:rsid w:val="00AF5949"/>
    <w:rsid w:val="00AF645A"/>
    <w:rsid w:val="00B012A1"/>
    <w:rsid w:val="00B01AB6"/>
    <w:rsid w:val="00B0233C"/>
    <w:rsid w:val="00B06705"/>
    <w:rsid w:val="00B068C1"/>
    <w:rsid w:val="00B06E67"/>
    <w:rsid w:val="00B1026A"/>
    <w:rsid w:val="00B10D4D"/>
    <w:rsid w:val="00B146D5"/>
    <w:rsid w:val="00B16D0B"/>
    <w:rsid w:val="00B17FE9"/>
    <w:rsid w:val="00B200F3"/>
    <w:rsid w:val="00B2069F"/>
    <w:rsid w:val="00B2077B"/>
    <w:rsid w:val="00B2160E"/>
    <w:rsid w:val="00B218B8"/>
    <w:rsid w:val="00B22497"/>
    <w:rsid w:val="00B22EF1"/>
    <w:rsid w:val="00B27F21"/>
    <w:rsid w:val="00B309A7"/>
    <w:rsid w:val="00B31EC1"/>
    <w:rsid w:val="00B33B96"/>
    <w:rsid w:val="00B35D7B"/>
    <w:rsid w:val="00B41A7B"/>
    <w:rsid w:val="00B421E4"/>
    <w:rsid w:val="00B44A7C"/>
    <w:rsid w:val="00B45C17"/>
    <w:rsid w:val="00B45C22"/>
    <w:rsid w:val="00B45D58"/>
    <w:rsid w:val="00B46039"/>
    <w:rsid w:val="00B516FD"/>
    <w:rsid w:val="00B51B5D"/>
    <w:rsid w:val="00B54CE5"/>
    <w:rsid w:val="00B6200B"/>
    <w:rsid w:val="00B6467B"/>
    <w:rsid w:val="00B657DE"/>
    <w:rsid w:val="00B66563"/>
    <w:rsid w:val="00B72091"/>
    <w:rsid w:val="00B73AB3"/>
    <w:rsid w:val="00B75AEB"/>
    <w:rsid w:val="00B75BF4"/>
    <w:rsid w:val="00B75E49"/>
    <w:rsid w:val="00B778CF"/>
    <w:rsid w:val="00B800A2"/>
    <w:rsid w:val="00B82C5F"/>
    <w:rsid w:val="00B8670D"/>
    <w:rsid w:val="00B87809"/>
    <w:rsid w:val="00B91F15"/>
    <w:rsid w:val="00B9266B"/>
    <w:rsid w:val="00B93256"/>
    <w:rsid w:val="00B940AD"/>
    <w:rsid w:val="00B973A1"/>
    <w:rsid w:val="00BA047F"/>
    <w:rsid w:val="00BA114F"/>
    <w:rsid w:val="00BA4D01"/>
    <w:rsid w:val="00BA7DB4"/>
    <w:rsid w:val="00BB04C0"/>
    <w:rsid w:val="00BB4EB3"/>
    <w:rsid w:val="00BB58C8"/>
    <w:rsid w:val="00BB6897"/>
    <w:rsid w:val="00BB6E57"/>
    <w:rsid w:val="00BC04D3"/>
    <w:rsid w:val="00BC2749"/>
    <w:rsid w:val="00BC36FC"/>
    <w:rsid w:val="00BC4A8F"/>
    <w:rsid w:val="00BC6908"/>
    <w:rsid w:val="00BC7938"/>
    <w:rsid w:val="00BD1874"/>
    <w:rsid w:val="00BD39B6"/>
    <w:rsid w:val="00BD4323"/>
    <w:rsid w:val="00BD602C"/>
    <w:rsid w:val="00BD7913"/>
    <w:rsid w:val="00BE03CA"/>
    <w:rsid w:val="00BE08E5"/>
    <w:rsid w:val="00BE0C23"/>
    <w:rsid w:val="00BE1E55"/>
    <w:rsid w:val="00BE2894"/>
    <w:rsid w:val="00BF3973"/>
    <w:rsid w:val="00BF3AED"/>
    <w:rsid w:val="00BF5030"/>
    <w:rsid w:val="00BF7670"/>
    <w:rsid w:val="00C0178E"/>
    <w:rsid w:val="00C02AA9"/>
    <w:rsid w:val="00C0755B"/>
    <w:rsid w:val="00C142D4"/>
    <w:rsid w:val="00C14594"/>
    <w:rsid w:val="00C14765"/>
    <w:rsid w:val="00C229ED"/>
    <w:rsid w:val="00C24BE4"/>
    <w:rsid w:val="00C26946"/>
    <w:rsid w:val="00C26B29"/>
    <w:rsid w:val="00C3114F"/>
    <w:rsid w:val="00C31F32"/>
    <w:rsid w:val="00C34993"/>
    <w:rsid w:val="00C362DD"/>
    <w:rsid w:val="00C377B4"/>
    <w:rsid w:val="00C41B6D"/>
    <w:rsid w:val="00C425FD"/>
    <w:rsid w:val="00C42891"/>
    <w:rsid w:val="00C437B4"/>
    <w:rsid w:val="00C44006"/>
    <w:rsid w:val="00C46860"/>
    <w:rsid w:val="00C521F2"/>
    <w:rsid w:val="00C55476"/>
    <w:rsid w:val="00C61ED1"/>
    <w:rsid w:val="00C62718"/>
    <w:rsid w:val="00C63E57"/>
    <w:rsid w:val="00C677EC"/>
    <w:rsid w:val="00C717F0"/>
    <w:rsid w:val="00C72E34"/>
    <w:rsid w:val="00C754F6"/>
    <w:rsid w:val="00C767B9"/>
    <w:rsid w:val="00C80181"/>
    <w:rsid w:val="00C8091C"/>
    <w:rsid w:val="00C810B4"/>
    <w:rsid w:val="00C83BE7"/>
    <w:rsid w:val="00C841B4"/>
    <w:rsid w:val="00C87F32"/>
    <w:rsid w:val="00C93A0C"/>
    <w:rsid w:val="00C94103"/>
    <w:rsid w:val="00C95F15"/>
    <w:rsid w:val="00CA024A"/>
    <w:rsid w:val="00CA1EF7"/>
    <w:rsid w:val="00CA37D4"/>
    <w:rsid w:val="00CA4341"/>
    <w:rsid w:val="00CA7141"/>
    <w:rsid w:val="00CB39C3"/>
    <w:rsid w:val="00CB400E"/>
    <w:rsid w:val="00CB5750"/>
    <w:rsid w:val="00CB6578"/>
    <w:rsid w:val="00CC2CAB"/>
    <w:rsid w:val="00CC6642"/>
    <w:rsid w:val="00CC66D5"/>
    <w:rsid w:val="00CD0271"/>
    <w:rsid w:val="00CD1442"/>
    <w:rsid w:val="00CD1A98"/>
    <w:rsid w:val="00CD1AED"/>
    <w:rsid w:val="00CD2906"/>
    <w:rsid w:val="00CD3A49"/>
    <w:rsid w:val="00CD3BE0"/>
    <w:rsid w:val="00CD467B"/>
    <w:rsid w:val="00CD65EA"/>
    <w:rsid w:val="00CE021A"/>
    <w:rsid w:val="00CE0C3E"/>
    <w:rsid w:val="00CE689C"/>
    <w:rsid w:val="00CE6B1A"/>
    <w:rsid w:val="00CE7B93"/>
    <w:rsid w:val="00CF11FB"/>
    <w:rsid w:val="00CF1547"/>
    <w:rsid w:val="00CF28AC"/>
    <w:rsid w:val="00CF5E00"/>
    <w:rsid w:val="00CF689C"/>
    <w:rsid w:val="00D0001C"/>
    <w:rsid w:val="00D0531E"/>
    <w:rsid w:val="00D063D9"/>
    <w:rsid w:val="00D06C8C"/>
    <w:rsid w:val="00D06EA6"/>
    <w:rsid w:val="00D071FF"/>
    <w:rsid w:val="00D07B58"/>
    <w:rsid w:val="00D103E3"/>
    <w:rsid w:val="00D10767"/>
    <w:rsid w:val="00D108B9"/>
    <w:rsid w:val="00D10CE1"/>
    <w:rsid w:val="00D11235"/>
    <w:rsid w:val="00D11966"/>
    <w:rsid w:val="00D12607"/>
    <w:rsid w:val="00D12809"/>
    <w:rsid w:val="00D1291E"/>
    <w:rsid w:val="00D1524C"/>
    <w:rsid w:val="00D15562"/>
    <w:rsid w:val="00D16FCF"/>
    <w:rsid w:val="00D21954"/>
    <w:rsid w:val="00D21C77"/>
    <w:rsid w:val="00D22BE1"/>
    <w:rsid w:val="00D22C33"/>
    <w:rsid w:val="00D22E02"/>
    <w:rsid w:val="00D25EB7"/>
    <w:rsid w:val="00D30204"/>
    <w:rsid w:val="00D302EF"/>
    <w:rsid w:val="00D305B9"/>
    <w:rsid w:val="00D30996"/>
    <w:rsid w:val="00D32ABD"/>
    <w:rsid w:val="00D33EB8"/>
    <w:rsid w:val="00D34064"/>
    <w:rsid w:val="00D35985"/>
    <w:rsid w:val="00D441D6"/>
    <w:rsid w:val="00D44201"/>
    <w:rsid w:val="00D464D7"/>
    <w:rsid w:val="00D502FB"/>
    <w:rsid w:val="00D516E1"/>
    <w:rsid w:val="00D5192B"/>
    <w:rsid w:val="00D5350B"/>
    <w:rsid w:val="00D53B9F"/>
    <w:rsid w:val="00D542A7"/>
    <w:rsid w:val="00D57C4A"/>
    <w:rsid w:val="00D642BC"/>
    <w:rsid w:val="00D64DE5"/>
    <w:rsid w:val="00D64F37"/>
    <w:rsid w:val="00D70A71"/>
    <w:rsid w:val="00D72233"/>
    <w:rsid w:val="00D75AB6"/>
    <w:rsid w:val="00D81CA4"/>
    <w:rsid w:val="00D83C5A"/>
    <w:rsid w:val="00D900F0"/>
    <w:rsid w:val="00D92903"/>
    <w:rsid w:val="00D933B5"/>
    <w:rsid w:val="00D94A0C"/>
    <w:rsid w:val="00D94B28"/>
    <w:rsid w:val="00D951CA"/>
    <w:rsid w:val="00DA16B9"/>
    <w:rsid w:val="00DA24BC"/>
    <w:rsid w:val="00DA5BCB"/>
    <w:rsid w:val="00DA6C1C"/>
    <w:rsid w:val="00DC01B8"/>
    <w:rsid w:val="00DC0FE5"/>
    <w:rsid w:val="00DC231E"/>
    <w:rsid w:val="00DC2463"/>
    <w:rsid w:val="00DC3DCF"/>
    <w:rsid w:val="00DC4F06"/>
    <w:rsid w:val="00DC601B"/>
    <w:rsid w:val="00DC6E6A"/>
    <w:rsid w:val="00DD41FC"/>
    <w:rsid w:val="00DD43D4"/>
    <w:rsid w:val="00DE0631"/>
    <w:rsid w:val="00DE1C8C"/>
    <w:rsid w:val="00DE33F1"/>
    <w:rsid w:val="00DE3B9C"/>
    <w:rsid w:val="00DE5BA2"/>
    <w:rsid w:val="00DF0992"/>
    <w:rsid w:val="00DF325E"/>
    <w:rsid w:val="00DF6499"/>
    <w:rsid w:val="00E0312C"/>
    <w:rsid w:val="00E03563"/>
    <w:rsid w:val="00E03D53"/>
    <w:rsid w:val="00E1022F"/>
    <w:rsid w:val="00E131C2"/>
    <w:rsid w:val="00E141F4"/>
    <w:rsid w:val="00E1501D"/>
    <w:rsid w:val="00E15657"/>
    <w:rsid w:val="00E15CAE"/>
    <w:rsid w:val="00E1755F"/>
    <w:rsid w:val="00E2413E"/>
    <w:rsid w:val="00E265FE"/>
    <w:rsid w:val="00E33211"/>
    <w:rsid w:val="00E40564"/>
    <w:rsid w:val="00E419F9"/>
    <w:rsid w:val="00E4344F"/>
    <w:rsid w:val="00E4741F"/>
    <w:rsid w:val="00E545E9"/>
    <w:rsid w:val="00E550F2"/>
    <w:rsid w:val="00E551D6"/>
    <w:rsid w:val="00E6207A"/>
    <w:rsid w:val="00E65D3A"/>
    <w:rsid w:val="00E671BC"/>
    <w:rsid w:val="00E70540"/>
    <w:rsid w:val="00E70E79"/>
    <w:rsid w:val="00E72190"/>
    <w:rsid w:val="00E752BF"/>
    <w:rsid w:val="00E763CA"/>
    <w:rsid w:val="00E77A26"/>
    <w:rsid w:val="00E84E16"/>
    <w:rsid w:val="00E8640C"/>
    <w:rsid w:val="00E87AD2"/>
    <w:rsid w:val="00E87CEE"/>
    <w:rsid w:val="00E90048"/>
    <w:rsid w:val="00E921E7"/>
    <w:rsid w:val="00E92373"/>
    <w:rsid w:val="00E9533D"/>
    <w:rsid w:val="00E95376"/>
    <w:rsid w:val="00E9546A"/>
    <w:rsid w:val="00E95693"/>
    <w:rsid w:val="00E959A0"/>
    <w:rsid w:val="00E95FFD"/>
    <w:rsid w:val="00E96C95"/>
    <w:rsid w:val="00EA1AA1"/>
    <w:rsid w:val="00EA3757"/>
    <w:rsid w:val="00EA52DF"/>
    <w:rsid w:val="00EA5846"/>
    <w:rsid w:val="00EA647C"/>
    <w:rsid w:val="00EA6959"/>
    <w:rsid w:val="00EA6A36"/>
    <w:rsid w:val="00EA6B68"/>
    <w:rsid w:val="00EA7F83"/>
    <w:rsid w:val="00EB1101"/>
    <w:rsid w:val="00EB17F1"/>
    <w:rsid w:val="00EB279B"/>
    <w:rsid w:val="00EB29CA"/>
    <w:rsid w:val="00EB2FF9"/>
    <w:rsid w:val="00EB558A"/>
    <w:rsid w:val="00EB6F1F"/>
    <w:rsid w:val="00EC0141"/>
    <w:rsid w:val="00EC0B8C"/>
    <w:rsid w:val="00EC4D65"/>
    <w:rsid w:val="00EC5541"/>
    <w:rsid w:val="00EC5667"/>
    <w:rsid w:val="00EC7161"/>
    <w:rsid w:val="00ED0B5D"/>
    <w:rsid w:val="00ED1893"/>
    <w:rsid w:val="00ED4242"/>
    <w:rsid w:val="00EE11CD"/>
    <w:rsid w:val="00EE1494"/>
    <w:rsid w:val="00EE3717"/>
    <w:rsid w:val="00EE44D1"/>
    <w:rsid w:val="00EE4BAA"/>
    <w:rsid w:val="00EE617A"/>
    <w:rsid w:val="00EF06DC"/>
    <w:rsid w:val="00EF25BE"/>
    <w:rsid w:val="00EF2EE7"/>
    <w:rsid w:val="00EF63D9"/>
    <w:rsid w:val="00F01157"/>
    <w:rsid w:val="00F0187F"/>
    <w:rsid w:val="00F01B34"/>
    <w:rsid w:val="00F02442"/>
    <w:rsid w:val="00F04B14"/>
    <w:rsid w:val="00F05C25"/>
    <w:rsid w:val="00F05C4F"/>
    <w:rsid w:val="00F06283"/>
    <w:rsid w:val="00F062D2"/>
    <w:rsid w:val="00F07C48"/>
    <w:rsid w:val="00F1092E"/>
    <w:rsid w:val="00F10A5F"/>
    <w:rsid w:val="00F1312B"/>
    <w:rsid w:val="00F132C9"/>
    <w:rsid w:val="00F158AE"/>
    <w:rsid w:val="00F15A0D"/>
    <w:rsid w:val="00F15E64"/>
    <w:rsid w:val="00F16812"/>
    <w:rsid w:val="00F201A6"/>
    <w:rsid w:val="00F215F9"/>
    <w:rsid w:val="00F23896"/>
    <w:rsid w:val="00F3270B"/>
    <w:rsid w:val="00F333FD"/>
    <w:rsid w:val="00F34B17"/>
    <w:rsid w:val="00F42967"/>
    <w:rsid w:val="00F429EE"/>
    <w:rsid w:val="00F44289"/>
    <w:rsid w:val="00F452D7"/>
    <w:rsid w:val="00F46318"/>
    <w:rsid w:val="00F46E17"/>
    <w:rsid w:val="00F46E96"/>
    <w:rsid w:val="00F4793F"/>
    <w:rsid w:val="00F51644"/>
    <w:rsid w:val="00F54A3F"/>
    <w:rsid w:val="00F55E91"/>
    <w:rsid w:val="00F56941"/>
    <w:rsid w:val="00F579E5"/>
    <w:rsid w:val="00F57E99"/>
    <w:rsid w:val="00F601D7"/>
    <w:rsid w:val="00F61FA8"/>
    <w:rsid w:val="00F64397"/>
    <w:rsid w:val="00F6603B"/>
    <w:rsid w:val="00F661F5"/>
    <w:rsid w:val="00F67165"/>
    <w:rsid w:val="00F67C46"/>
    <w:rsid w:val="00F73113"/>
    <w:rsid w:val="00F7700C"/>
    <w:rsid w:val="00F817F0"/>
    <w:rsid w:val="00F823BB"/>
    <w:rsid w:val="00F82E3E"/>
    <w:rsid w:val="00F85120"/>
    <w:rsid w:val="00F937C4"/>
    <w:rsid w:val="00F93A65"/>
    <w:rsid w:val="00F93EC9"/>
    <w:rsid w:val="00F94EF7"/>
    <w:rsid w:val="00F97ED3"/>
    <w:rsid w:val="00FA6A6B"/>
    <w:rsid w:val="00FA76BD"/>
    <w:rsid w:val="00FA772A"/>
    <w:rsid w:val="00FA78F9"/>
    <w:rsid w:val="00FB000D"/>
    <w:rsid w:val="00FB0320"/>
    <w:rsid w:val="00FB0C8A"/>
    <w:rsid w:val="00FB45CD"/>
    <w:rsid w:val="00FB4824"/>
    <w:rsid w:val="00FC0C86"/>
    <w:rsid w:val="00FC1D70"/>
    <w:rsid w:val="00FC39EC"/>
    <w:rsid w:val="00FC3D00"/>
    <w:rsid w:val="00FC5AC6"/>
    <w:rsid w:val="00FD0BFC"/>
    <w:rsid w:val="00FD10F4"/>
    <w:rsid w:val="00FD63D8"/>
    <w:rsid w:val="00FD65FD"/>
    <w:rsid w:val="00FD66C2"/>
    <w:rsid w:val="00FE2CE1"/>
    <w:rsid w:val="00FE38C4"/>
    <w:rsid w:val="00FE3F61"/>
    <w:rsid w:val="00FE6D6C"/>
    <w:rsid w:val="00FE6D8B"/>
    <w:rsid w:val="00FF10A3"/>
    <w:rsid w:val="00FF248D"/>
    <w:rsid w:val="00FF2585"/>
    <w:rsid w:val="00FF3624"/>
    <w:rsid w:val="00FF5691"/>
    <w:rsid w:val="00FF5CA6"/>
    <w:rsid w:val="00FF5EAC"/>
    <w:rsid w:val="00FF76A2"/>
    <w:rsid w:val="00FF7B8F"/>
    <w:rsid w:val="014E023A"/>
    <w:rsid w:val="01521A36"/>
    <w:rsid w:val="021E6489"/>
    <w:rsid w:val="0226370E"/>
    <w:rsid w:val="02A367E5"/>
    <w:rsid w:val="02B0115C"/>
    <w:rsid w:val="02E434BC"/>
    <w:rsid w:val="039A2EFF"/>
    <w:rsid w:val="03A53345"/>
    <w:rsid w:val="03BA39DA"/>
    <w:rsid w:val="03E7176D"/>
    <w:rsid w:val="03FC6A28"/>
    <w:rsid w:val="045009A0"/>
    <w:rsid w:val="04A24F9F"/>
    <w:rsid w:val="054F1DF5"/>
    <w:rsid w:val="059C2F1B"/>
    <w:rsid w:val="05AD16E0"/>
    <w:rsid w:val="05DC2A0E"/>
    <w:rsid w:val="064066E1"/>
    <w:rsid w:val="064721DB"/>
    <w:rsid w:val="068F3E8E"/>
    <w:rsid w:val="06F84278"/>
    <w:rsid w:val="07425655"/>
    <w:rsid w:val="08381582"/>
    <w:rsid w:val="08923AB9"/>
    <w:rsid w:val="089C0B89"/>
    <w:rsid w:val="08B021B3"/>
    <w:rsid w:val="090C121D"/>
    <w:rsid w:val="094C655E"/>
    <w:rsid w:val="09616115"/>
    <w:rsid w:val="09710F02"/>
    <w:rsid w:val="098F3120"/>
    <w:rsid w:val="0A4737F9"/>
    <w:rsid w:val="0A97126E"/>
    <w:rsid w:val="0ABF6AA8"/>
    <w:rsid w:val="0B4F3F64"/>
    <w:rsid w:val="0B6E6478"/>
    <w:rsid w:val="0BDD0646"/>
    <w:rsid w:val="0C44143A"/>
    <w:rsid w:val="0D275D85"/>
    <w:rsid w:val="0D2A3AEF"/>
    <w:rsid w:val="0D6C3433"/>
    <w:rsid w:val="0DB1634E"/>
    <w:rsid w:val="0E444DB5"/>
    <w:rsid w:val="0E70213D"/>
    <w:rsid w:val="0EDD3E00"/>
    <w:rsid w:val="0F8E532A"/>
    <w:rsid w:val="0FB91D0B"/>
    <w:rsid w:val="107556A4"/>
    <w:rsid w:val="109E76E6"/>
    <w:rsid w:val="119F5EE6"/>
    <w:rsid w:val="11AB6E2B"/>
    <w:rsid w:val="11C156F4"/>
    <w:rsid w:val="11DD6DDE"/>
    <w:rsid w:val="124D730F"/>
    <w:rsid w:val="135C7070"/>
    <w:rsid w:val="13BC16D2"/>
    <w:rsid w:val="13EE04E2"/>
    <w:rsid w:val="142A1113"/>
    <w:rsid w:val="14B32767"/>
    <w:rsid w:val="14F72F15"/>
    <w:rsid w:val="15AE65B6"/>
    <w:rsid w:val="15B0405E"/>
    <w:rsid w:val="15CA135E"/>
    <w:rsid w:val="15EE3B06"/>
    <w:rsid w:val="16180683"/>
    <w:rsid w:val="169E26A9"/>
    <w:rsid w:val="16C0124B"/>
    <w:rsid w:val="16D1097E"/>
    <w:rsid w:val="16D76212"/>
    <w:rsid w:val="17B217A5"/>
    <w:rsid w:val="180A3F22"/>
    <w:rsid w:val="18560F3B"/>
    <w:rsid w:val="18AE768E"/>
    <w:rsid w:val="18E36482"/>
    <w:rsid w:val="1901444A"/>
    <w:rsid w:val="1977219C"/>
    <w:rsid w:val="1A080ED6"/>
    <w:rsid w:val="1A235293"/>
    <w:rsid w:val="1AE65F8A"/>
    <w:rsid w:val="1AFB0752"/>
    <w:rsid w:val="1B651523"/>
    <w:rsid w:val="1BB11239"/>
    <w:rsid w:val="1C7504A5"/>
    <w:rsid w:val="1C8D1416"/>
    <w:rsid w:val="1CE424A5"/>
    <w:rsid w:val="1CF0432E"/>
    <w:rsid w:val="1DE626D4"/>
    <w:rsid w:val="1E3D5553"/>
    <w:rsid w:val="1E3E74CB"/>
    <w:rsid w:val="1E631389"/>
    <w:rsid w:val="1EF6703C"/>
    <w:rsid w:val="1F2D5389"/>
    <w:rsid w:val="1F9E3F8A"/>
    <w:rsid w:val="1FA359CC"/>
    <w:rsid w:val="1FF60464"/>
    <w:rsid w:val="2008490C"/>
    <w:rsid w:val="200F4523"/>
    <w:rsid w:val="20114175"/>
    <w:rsid w:val="20D63A5E"/>
    <w:rsid w:val="211C51FF"/>
    <w:rsid w:val="21216D14"/>
    <w:rsid w:val="2129739B"/>
    <w:rsid w:val="212F354B"/>
    <w:rsid w:val="22094558"/>
    <w:rsid w:val="22137447"/>
    <w:rsid w:val="22B93B34"/>
    <w:rsid w:val="22EF3836"/>
    <w:rsid w:val="231D2826"/>
    <w:rsid w:val="231D3215"/>
    <w:rsid w:val="235D02A8"/>
    <w:rsid w:val="245A1E84"/>
    <w:rsid w:val="249B741F"/>
    <w:rsid w:val="250D0D8E"/>
    <w:rsid w:val="25190C05"/>
    <w:rsid w:val="25472B8F"/>
    <w:rsid w:val="25573572"/>
    <w:rsid w:val="258A2CFB"/>
    <w:rsid w:val="25B11D9F"/>
    <w:rsid w:val="26242972"/>
    <w:rsid w:val="263A064E"/>
    <w:rsid w:val="268E0360"/>
    <w:rsid w:val="26AF0FD5"/>
    <w:rsid w:val="280F1D23"/>
    <w:rsid w:val="283B3628"/>
    <w:rsid w:val="28792D63"/>
    <w:rsid w:val="28A83A0A"/>
    <w:rsid w:val="28A84F6F"/>
    <w:rsid w:val="28E72BF6"/>
    <w:rsid w:val="28F46934"/>
    <w:rsid w:val="29093604"/>
    <w:rsid w:val="297278C5"/>
    <w:rsid w:val="29A659AF"/>
    <w:rsid w:val="29DB29AB"/>
    <w:rsid w:val="2A102DB7"/>
    <w:rsid w:val="2AAF3307"/>
    <w:rsid w:val="2B397E98"/>
    <w:rsid w:val="2BDE03B0"/>
    <w:rsid w:val="2C2664AD"/>
    <w:rsid w:val="2C925178"/>
    <w:rsid w:val="2CA51320"/>
    <w:rsid w:val="2CC75362"/>
    <w:rsid w:val="2CE26E90"/>
    <w:rsid w:val="2CFC1A96"/>
    <w:rsid w:val="2D667B5E"/>
    <w:rsid w:val="2D9A68F2"/>
    <w:rsid w:val="2DE30502"/>
    <w:rsid w:val="2EB8696C"/>
    <w:rsid w:val="2F1214A8"/>
    <w:rsid w:val="2F515C18"/>
    <w:rsid w:val="2F580A13"/>
    <w:rsid w:val="2F623CA4"/>
    <w:rsid w:val="2F6D35ED"/>
    <w:rsid w:val="2FBB7EEA"/>
    <w:rsid w:val="304001A2"/>
    <w:rsid w:val="309E3179"/>
    <w:rsid w:val="3155718A"/>
    <w:rsid w:val="316E4127"/>
    <w:rsid w:val="318E5570"/>
    <w:rsid w:val="31935E13"/>
    <w:rsid w:val="31D14A7C"/>
    <w:rsid w:val="32A85E8A"/>
    <w:rsid w:val="32BD4CB5"/>
    <w:rsid w:val="32ED1438"/>
    <w:rsid w:val="330434E0"/>
    <w:rsid w:val="33475C19"/>
    <w:rsid w:val="33565D7F"/>
    <w:rsid w:val="33652540"/>
    <w:rsid w:val="336A20C6"/>
    <w:rsid w:val="33727B7A"/>
    <w:rsid w:val="338F22F6"/>
    <w:rsid w:val="34180465"/>
    <w:rsid w:val="34332F7B"/>
    <w:rsid w:val="346C0EC4"/>
    <w:rsid w:val="3472733E"/>
    <w:rsid w:val="353D4FD7"/>
    <w:rsid w:val="35417E85"/>
    <w:rsid w:val="35505E9A"/>
    <w:rsid w:val="356A26E3"/>
    <w:rsid w:val="35B27227"/>
    <w:rsid w:val="36243296"/>
    <w:rsid w:val="36662384"/>
    <w:rsid w:val="36A52AA0"/>
    <w:rsid w:val="36A52B88"/>
    <w:rsid w:val="36A5525B"/>
    <w:rsid w:val="36AD2520"/>
    <w:rsid w:val="36B52431"/>
    <w:rsid w:val="36C201F3"/>
    <w:rsid w:val="36CC2CD4"/>
    <w:rsid w:val="36D018B8"/>
    <w:rsid w:val="370C65C8"/>
    <w:rsid w:val="370F174C"/>
    <w:rsid w:val="37B66D99"/>
    <w:rsid w:val="37E01F05"/>
    <w:rsid w:val="38396778"/>
    <w:rsid w:val="38A149B7"/>
    <w:rsid w:val="38DF74D6"/>
    <w:rsid w:val="38FD1F4A"/>
    <w:rsid w:val="399669A3"/>
    <w:rsid w:val="3A677414"/>
    <w:rsid w:val="3AD74F2F"/>
    <w:rsid w:val="3B4D79A2"/>
    <w:rsid w:val="3BD9176C"/>
    <w:rsid w:val="3C0F6DE5"/>
    <w:rsid w:val="3C521985"/>
    <w:rsid w:val="3C565803"/>
    <w:rsid w:val="3D851272"/>
    <w:rsid w:val="3D953479"/>
    <w:rsid w:val="3DD64749"/>
    <w:rsid w:val="3DD9465F"/>
    <w:rsid w:val="3E13064E"/>
    <w:rsid w:val="3EC10CBA"/>
    <w:rsid w:val="3F11407F"/>
    <w:rsid w:val="3F3E74E1"/>
    <w:rsid w:val="3F3F7C21"/>
    <w:rsid w:val="3FE03F9D"/>
    <w:rsid w:val="40F81B1F"/>
    <w:rsid w:val="41C930F7"/>
    <w:rsid w:val="41DB793E"/>
    <w:rsid w:val="437E1CE3"/>
    <w:rsid w:val="43BC0444"/>
    <w:rsid w:val="43F578BB"/>
    <w:rsid w:val="443D0312"/>
    <w:rsid w:val="446556B8"/>
    <w:rsid w:val="447F4745"/>
    <w:rsid w:val="44942498"/>
    <w:rsid w:val="44C97050"/>
    <w:rsid w:val="44E119B3"/>
    <w:rsid w:val="45526923"/>
    <w:rsid w:val="45552DA0"/>
    <w:rsid w:val="459968F8"/>
    <w:rsid w:val="459B6B15"/>
    <w:rsid w:val="45A768A2"/>
    <w:rsid w:val="45C330F3"/>
    <w:rsid w:val="45E9150D"/>
    <w:rsid w:val="463D35C8"/>
    <w:rsid w:val="467734B0"/>
    <w:rsid w:val="469207CA"/>
    <w:rsid w:val="46BA3EE6"/>
    <w:rsid w:val="46EE4CD4"/>
    <w:rsid w:val="46F16C03"/>
    <w:rsid w:val="471D0B35"/>
    <w:rsid w:val="47472B85"/>
    <w:rsid w:val="476A7EA3"/>
    <w:rsid w:val="483F0BC2"/>
    <w:rsid w:val="48DC0EA6"/>
    <w:rsid w:val="49573FD1"/>
    <w:rsid w:val="49EE29B4"/>
    <w:rsid w:val="49FC2B4E"/>
    <w:rsid w:val="4A7923FE"/>
    <w:rsid w:val="4A9315FD"/>
    <w:rsid w:val="4AA13677"/>
    <w:rsid w:val="4ADE190C"/>
    <w:rsid w:val="4AF43A7A"/>
    <w:rsid w:val="4B09303C"/>
    <w:rsid w:val="4B8E446B"/>
    <w:rsid w:val="4BD67A6D"/>
    <w:rsid w:val="4C377C8F"/>
    <w:rsid w:val="4C682B4D"/>
    <w:rsid w:val="4C954E90"/>
    <w:rsid w:val="4CA962BB"/>
    <w:rsid w:val="4CCA6736"/>
    <w:rsid w:val="4CCC180B"/>
    <w:rsid w:val="4CCD1219"/>
    <w:rsid w:val="4D170E65"/>
    <w:rsid w:val="4D801027"/>
    <w:rsid w:val="4D9C1562"/>
    <w:rsid w:val="4DBB57C6"/>
    <w:rsid w:val="4DC61743"/>
    <w:rsid w:val="4DCF3991"/>
    <w:rsid w:val="4E0709BA"/>
    <w:rsid w:val="4E3751CE"/>
    <w:rsid w:val="4E673A31"/>
    <w:rsid w:val="4EC464F1"/>
    <w:rsid w:val="4ECF720B"/>
    <w:rsid w:val="4ED436A2"/>
    <w:rsid w:val="4F0E113D"/>
    <w:rsid w:val="4F793C2C"/>
    <w:rsid w:val="4FA24D2B"/>
    <w:rsid w:val="50065424"/>
    <w:rsid w:val="502B196B"/>
    <w:rsid w:val="50AC6936"/>
    <w:rsid w:val="50B76F52"/>
    <w:rsid w:val="50C534A5"/>
    <w:rsid w:val="510B6150"/>
    <w:rsid w:val="51160BE7"/>
    <w:rsid w:val="513454F2"/>
    <w:rsid w:val="52167716"/>
    <w:rsid w:val="523F02C1"/>
    <w:rsid w:val="52961585"/>
    <w:rsid w:val="52C044E8"/>
    <w:rsid w:val="53280FB8"/>
    <w:rsid w:val="536F281D"/>
    <w:rsid w:val="539819D7"/>
    <w:rsid w:val="539B4C47"/>
    <w:rsid w:val="53E840A3"/>
    <w:rsid w:val="54475D54"/>
    <w:rsid w:val="546F47E2"/>
    <w:rsid w:val="549750F4"/>
    <w:rsid w:val="54A33384"/>
    <w:rsid w:val="555965E9"/>
    <w:rsid w:val="558743CD"/>
    <w:rsid w:val="559878E4"/>
    <w:rsid w:val="559D06CF"/>
    <w:rsid w:val="559E58CF"/>
    <w:rsid w:val="55B103E3"/>
    <w:rsid w:val="55B413A1"/>
    <w:rsid w:val="55F63B0C"/>
    <w:rsid w:val="55FB6E16"/>
    <w:rsid w:val="5675341C"/>
    <w:rsid w:val="568D538F"/>
    <w:rsid w:val="56A52631"/>
    <w:rsid w:val="56D4283E"/>
    <w:rsid w:val="57EA776D"/>
    <w:rsid w:val="57F77708"/>
    <w:rsid w:val="582479FB"/>
    <w:rsid w:val="58403BBB"/>
    <w:rsid w:val="58761279"/>
    <w:rsid w:val="58A06123"/>
    <w:rsid w:val="58D63B31"/>
    <w:rsid w:val="59B83825"/>
    <w:rsid w:val="5A0856F8"/>
    <w:rsid w:val="5A094EE1"/>
    <w:rsid w:val="5A412D71"/>
    <w:rsid w:val="5AB27104"/>
    <w:rsid w:val="5B71241C"/>
    <w:rsid w:val="5B9004D0"/>
    <w:rsid w:val="5BC00400"/>
    <w:rsid w:val="5D0A5AF9"/>
    <w:rsid w:val="5D4A1E1D"/>
    <w:rsid w:val="5F7134B2"/>
    <w:rsid w:val="5FA0350C"/>
    <w:rsid w:val="5FF70D74"/>
    <w:rsid w:val="60535110"/>
    <w:rsid w:val="609825F6"/>
    <w:rsid w:val="60A73145"/>
    <w:rsid w:val="61560800"/>
    <w:rsid w:val="61EB081E"/>
    <w:rsid w:val="622A1CAE"/>
    <w:rsid w:val="62310BBE"/>
    <w:rsid w:val="62364FC1"/>
    <w:rsid w:val="6239431F"/>
    <w:rsid w:val="62501DAE"/>
    <w:rsid w:val="62DA05BC"/>
    <w:rsid w:val="631235CD"/>
    <w:rsid w:val="63195A2D"/>
    <w:rsid w:val="631A0204"/>
    <w:rsid w:val="633D65D9"/>
    <w:rsid w:val="63827E30"/>
    <w:rsid w:val="63D2671B"/>
    <w:rsid w:val="63D60EE4"/>
    <w:rsid w:val="64277AD8"/>
    <w:rsid w:val="643603E4"/>
    <w:rsid w:val="643669E8"/>
    <w:rsid w:val="64401988"/>
    <w:rsid w:val="64501B16"/>
    <w:rsid w:val="648D6E0A"/>
    <w:rsid w:val="649D50BB"/>
    <w:rsid w:val="64BB19F0"/>
    <w:rsid w:val="650652B8"/>
    <w:rsid w:val="660207D5"/>
    <w:rsid w:val="66190FF0"/>
    <w:rsid w:val="665A78E5"/>
    <w:rsid w:val="665B1F3C"/>
    <w:rsid w:val="66672F64"/>
    <w:rsid w:val="666D068B"/>
    <w:rsid w:val="667224F5"/>
    <w:rsid w:val="668D52E4"/>
    <w:rsid w:val="66C26B4D"/>
    <w:rsid w:val="67060682"/>
    <w:rsid w:val="672F5316"/>
    <w:rsid w:val="67407FE0"/>
    <w:rsid w:val="67D118BA"/>
    <w:rsid w:val="682920E9"/>
    <w:rsid w:val="6963546C"/>
    <w:rsid w:val="69B604FD"/>
    <w:rsid w:val="6A153D4A"/>
    <w:rsid w:val="6A2C5910"/>
    <w:rsid w:val="6AB800E2"/>
    <w:rsid w:val="6AF443C4"/>
    <w:rsid w:val="6AF74747"/>
    <w:rsid w:val="6B0B796B"/>
    <w:rsid w:val="6B3F68A7"/>
    <w:rsid w:val="6C296C97"/>
    <w:rsid w:val="6CA3001C"/>
    <w:rsid w:val="6CB5235D"/>
    <w:rsid w:val="6CE01AA7"/>
    <w:rsid w:val="6D002EB8"/>
    <w:rsid w:val="6D044B45"/>
    <w:rsid w:val="6E6D70AF"/>
    <w:rsid w:val="6EC25073"/>
    <w:rsid w:val="6EE252E5"/>
    <w:rsid w:val="6EFA3403"/>
    <w:rsid w:val="6F924C32"/>
    <w:rsid w:val="706F4A33"/>
    <w:rsid w:val="70AB5522"/>
    <w:rsid w:val="710B0DCA"/>
    <w:rsid w:val="715D6336"/>
    <w:rsid w:val="71D82D3A"/>
    <w:rsid w:val="72295DD7"/>
    <w:rsid w:val="727C51C1"/>
    <w:rsid w:val="7296309C"/>
    <w:rsid w:val="72A603F9"/>
    <w:rsid w:val="72E046F1"/>
    <w:rsid w:val="73305655"/>
    <w:rsid w:val="7348618F"/>
    <w:rsid w:val="737A7237"/>
    <w:rsid w:val="73B567EB"/>
    <w:rsid w:val="73B65DD8"/>
    <w:rsid w:val="73BF411B"/>
    <w:rsid w:val="73D31488"/>
    <w:rsid w:val="73F67DA5"/>
    <w:rsid w:val="73FC317A"/>
    <w:rsid w:val="74724CBB"/>
    <w:rsid w:val="749107DF"/>
    <w:rsid w:val="74A17F3E"/>
    <w:rsid w:val="74E15F2E"/>
    <w:rsid w:val="751A6A29"/>
    <w:rsid w:val="75A5523D"/>
    <w:rsid w:val="764B469B"/>
    <w:rsid w:val="76561E3F"/>
    <w:rsid w:val="768C69DD"/>
    <w:rsid w:val="76D34A00"/>
    <w:rsid w:val="76FA5733"/>
    <w:rsid w:val="772B59F9"/>
    <w:rsid w:val="778B7560"/>
    <w:rsid w:val="77AD3080"/>
    <w:rsid w:val="77B208DC"/>
    <w:rsid w:val="780944CF"/>
    <w:rsid w:val="78196B6B"/>
    <w:rsid w:val="789B797E"/>
    <w:rsid w:val="78C02B22"/>
    <w:rsid w:val="78DF501E"/>
    <w:rsid w:val="791267A4"/>
    <w:rsid w:val="793B51D6"/>
    <w:rsid w:val="79C52517"/>
    <w:rsid w:val="79CF117F"/>
    <w:rsid w:val="7A506A9E"/>
    <w:rsid w:val="7A947B19"/>
    <w:rsid w:val="7AB30A54"/>
    <w:rsid w:val="7B5C6F84"/>
    <w:rsid w:val="7B5E3957"/>
    <w:rsid w:val="7BBA1ECB"/>
    <w:rsid w:val="7C157073"/>
    <w:rsid w:val="7C774BAC"/>
    <w:rsid w:val="7C905424"/>
    <w:rsid w:val="7C9B1D2F"/>
    <w:rsid w:val="7D0C66DE"/>
    <w:rsid w:val="7D1C08E4"/>
    <w:rsid w:val="7DDF037A"/>
    <w:rsid w:val="7DEA1743"/>
    <w:rsid w:val="7E0F160B"/>
    <w:rsid w:val="7E3651CE"/>
    <w:rsid w:val="7E416CF6"/>
    <w:rsid w:val="7E534748"/>
    <w:rsid w:val="7E7464B5"/>
    <w:rsid w:val="7EBF64A4"/>
    <w:rsid w:val="7EE22F9F"/>
    <w:rsid w:val="7F246A05"/>
    <w:rsid w:val="7F287247"/>
    <w:rsid w:val="7F4B12AA"/>
    <w:rsid w:val="7F5473B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2"/>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cstheme="majorBidi"/>
      <w:b/>
      <w:bCs/>
      <w:szCs w:val="32"/>
    </w:rPr>
  </w:style>
  <w:style w:type="paragraph" w:styleId="4">
    <w:name w:val="heading 3"/>
    <w:basedOn w:val="1"/>
    <w:next w:val="1"/>
    <w:link w:val="30"/>
    <w:unhideWhenUsed/>
    <w:qFormat/>
    <w:uiPriority w:val="9"/>
    <w:pPr>
      <w:keepNext/>
      <w:keepLines/>
      <w:spacing w:line="413" w:lineRule="auto"/>
      <w:outlineLvl w:val="2"/>
    </w:pPr>
    <w:rPr>
      <w:b/>
    </w:rPr>
  </w:style>
  <w:style w:type="character" w:default="1" w:styleId="13">
    <w:name w:val="Default Paragraph Font"/>
    <w:unhideWhenUsed/>
    <w:uiPriority w:val="1"/>
  </w:style>
  <w:style w:type="table" w:default="1" w:styleId="18">
    <w:name w:val="Normal Table"/>
    <w:unhideWhenUsed/>
    <w:uiPriority w:val="99"/>
    <w:tblPr>
      <w:tblLayout w:type="fixed"/>
      <w:tblCellMar>
        <w:top w:w="0" w:type="dxa"/>
        <w:left w:w="108" w:type="dxa"/>
        <w:bottom w:w="0" w:type="dxa"/>
        <w:right w:w="108" w:type="dxa"/>
      </w:tblCellMar>
    </w:tblPr>
  </w:style>
  <w:style w:type="paragraph" w:styleId="5">
    <w:name w:val="annotation subject"/>
    <w:basedOn w:val="6"/>
    <w:next w:val="6"/>
    <w:link w:val="23"/>
    <w:unhideWhenUsed/>
    <w:qFormat/>
    <w:uiPriority w:val="99"/>
    <w:rPr>
      <w:b/>
      <w:bCs/>
    </w:rPr>
  </w:style>
  <w:style w:type="paragraph" w:styleId="6">
    <w:name w:val="annotation text"/>
    <w:basedOn w:val="1"/>
    <w:link w:val="22"/>
    <w:unhideWhenUsed/>
    <w:qFormat/>
    <w:uiPriority w:val="99"/>
    <w:pPr>
      <w:jc w:val="left"/>
    </w:pPr>
  </w:style>
  <w:style w:type="paragraph" w:styleId="7">
    <w:name w:val="Balloon Text"/>
    <w:basedOn w:val="1"/>
    <w:link w:val="21"/>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Strong"/>
    <w:basedOn w:val="13"/>
    <w:qFormat/>
    <w:uiPriority w:val="22"/>
    <w:rPr>
      <w:b/>
      <w:bCs/>
    </w:rPr>
  </w:style>
  <w:style w:type="character" w:styleId="15">
    <w:name w:val="Emphasis"/>
    <w:basedOn w:val="13"/>
    <w:qFormat/>
    <w:uiPriority w:val="20"/>
    <w:rPr>
      <w:i/>
    </w:rPr>
  </w:style>
  <w:style w:type="character" w:styleId="16">
    <w:name w:val="Hyperlink"/>
    <w:basedOn w:val="13"/>
    <w:unhideWhenUsed/>
    <w:qFormat/>
    <w:uiPriority w:val="99"/>
    <w:rPr>
      <w:color w:val="0563C1" w:themeColor="hyperlink"/>
      <w:u w:val="single"/>
      <w14:textFill>
        <w14:solidFill>
          <w14:schemeClr w14:val="hlink"/>
        </w14:solidFill>
      </w14:textFill>
    </w:rPr>
  </w:style>
  <w:style w:type="character" w:styleId="17">
    <w:name w:val="annotation reference"/>
    <w:basedOn w:val="13"/>
    <w:unhideWhenUsed/>
    <w:qFormat/>
    <w:uiPriority w:val="99"/>
    <w:rPr>
      <w:sz w:val="21"/>
      <w:szCs w:val="21"/>
    </w:rPr>
  </w:style>
  <w:style w:type="character" w:customStyle="1" w:styleId="19">
    <w:name w:val="页眉 字符"/>
    <w:basedOn w:val="13"/>
    <w:link w:val="9"/>
    <w:qFormat/>
    <w:uiPriority w:val="99"/>
    <w:rPr>
      <w:sz w:val="18"/>
      <w:szCs w:val="18"/>
    </w:rPr>
  </w:style>
  <w:style w:type="character" w:customStyle="1" w:styleId="20">
    <w:name w:val="页脚 字符"/>
    <w:basedOn w:val="13"/>
    <w:link w:val="8"/>
    <w:qFormat/>
    <w:uiPriority w:val="99"/>
    <w:rPr>
      <w:sz w:val="18"/>
      <w:szCs w:val="18"/>
    </w:rPr>
  </w:style>
  <w:style w:type="character" w:customStyle="1" w:styleId="21">
    <w:name w:val="批注框文本 字符"/>
    <w:basedOn w:val="13"/>
    <w:link w:val="7"/>
    <w:semiHidden/>
    <w:qFormat/>
    <w:uiPriority w:val="99"/>
    <w:rPr>
      <w:sz w:val="18"/>
      <w:szCs w:val="18"/>
    </w:rPr>
  </w:style>
  <w:style w:type="character" w:customStyle="1" w:styleId="22">
    <w:name w:val="批注文字 字符"/>
    <w:basedOn w:val="13"/>
    <w:link w:val="6"/>
    <w:semiHidden/>
    <w:qFormat/>
    <w:uiPriority w:val="99"/>
  </w:style>
  <w:style w:type="character" w:customStyle="1" w:styleId="23">
    <w:name w:val="批注主题 字符"/>
    <w:basedOn w:val="22"/>
    <w:link w:val="5"/>
    <w:semiHidden/>
    <w:qFormat/>
    <w:uiPriority w:val="99"/>
    <w:rPr>
      <w:b/>
      <w:bCs/>
    </w:rPr>
  </w:style>
  <w:style w:type="paragraph" w:styleId="24">
    <w:name w:val="List Paragraph"/>
    <w:basedOn w:val="1"/>
    <w:qFormat/>
    <w:uiPriority w:val="34"/>
    <w:pPr>
      <w:ind w:firstLine="420" w:firstLineChars="200"/>
    </w:pPr>
  </w:style>
  <w:style w:type="paragraph" w:customStyle="1" w:styleId="25">
    <w:name w:val="p1"/>
    <w:basedOn w:val="1"/>
    <w:qFormat/>
    <w:uiPriority w:val="0"/>
    <w:pPr>
      <w:widowControl/>
      <w:jc w:val="left"/>
    </w:pPr>
    <w:rPr>
      <w:rFonts w:ascii="Arial" w:hAnsi="Arial" w:cs="Arial"/>
      <w:kern w:val="0"/>
      <w:sz w:val="18"/>
      <w:szCs w:val="18"/>
    </w:rPr>
  </w:style>
  <w:style w:type="character" w:customStyle="1" w:styleId="26">
    <w:name w:val="标题 1 字符"/>
    <w:basedOn w:val="13"/>
    <w:link w:val="2"/>
    <w:qFormat/>
    <w:uiPriority w:val="9"/>
    <w:rPr>
      <w:rFonts w:eastAsia="仿宋" w:asciiTheme="minorHAnsi" w:hAnsiTheme="minorHAnsi" w:cstheme="minorBidi"/>
      <w:b/>
      <w:bCs/>
      <w:kern w:val="44"/>
      <w:sz w:val="32"/>
      <w:szCs w:val="44"/>
    </w:rPr>
  </w:style>
  <w:style w:type="paragraph" w:customStyle="1" w:styleId="27">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Cs w:val="32"/>
    </w:rPr>
  </w:style>
  <w:style w:type="character" w:customStyle="1" w:styleId="28">
    <w:name w:val="标题 2 字符"/>
    <w:basedOn w:val="13"/>
    <w:qFormat/>
    <w:uiPriority w:val="9"/>
    <w:rPr>
      <w:rFonts w:eastAsia="仿宋" w:asciiTheme="majorHAnsi" w:hAnsiTheme="majorHAnsi" w:cstheme="majorBidi"/>
      <w:b/>
      <w:bCs/>
      <w:kern w:val="2"/>
      <w:sz w:val="32"/>
      <w:szCs w:val="32"/>
    </w:rPr>
  </w:style>
  <w:style w:type="character" w:customStyle="1" w:styleId="29">
    <w:name w:val="标题 2 字符1"/>
    <w:basedOn w:val="13"/>
    <w:link w:val="3"/>
    <w:qFormat/>
    <w:uiPriority w:val="9"/>
    <w:rPr>
      <w:rFonts w:eastAsia="仿宋" w:asciiTheme="majorHAnsi" w:hAnsiTheme="majorHAnsi" w:cstheme="majorBidi"/>
      <w:b/>
      <w:bCs/>
      <w:kern w:val="2"/>
      <w:sz w:val="32"/>
      <w:szCs w:val="32"/>
    </w:rPr>
  </w:style>
  <w:style w:type="character" w:customStyle="1" w:styleId="30">
    <w:name w:val="标题 3 字符"/>
    <w:link w:val="4"/>
    <w:qFormat/>
    <w:uiPriority w:val="0"/>
    <w:rPr>
      <w:b/>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DC299B-C39A-4E88-85B5-D715B8FE8DE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1557</Words>
  <Characters>8879</Characters>
  <Lines>73</Lines>
  <Paragraphs>20</Paragraphs>
  <TotalTime>0</TotalTime>
  <ScaleCrop>false</ScaleCrop>
  <LinksUpToDate>false</LinksUpToDate>
  <CharactersWithSpaces>10416</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2019-03-07T01:03:00Z</dcterms:created>
  <dc:creator>Administrator</dc:creator>
  <cp:lastModifiedBy>Administrator</cp:lastModifiedBy>
  <cp:lastPrinted>2019-03-07T00:33:00Z</cp:lastPrinted>
  <dcterms:modified xsi:type="dcterms:W3CDTF">2019-03-07T04:28:45Z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